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36" w:rsidRPr="00B53171" w:rsidRDefault="00991F36" w:rsidP="001D61BB">
      <w:pPr>
        <w:jc w:val="center"/>
        <w:rPr>
          <w:b/>
          <w:sz w:val="36"/>
          <w:szCs w:val="36"/>
        </w:rPr>
      </w:pPr>
      <w:r w:rsidRPr="00B53171">
        <w:rPr>
          <w:b/>
          <w:sz w:val="36"/>
          <w:szCs w:val="36"/>
        </w:rPr>
        <w:t>Public Policy Theory &amp; Application</w:t>
      </w:r>
    </w:p>
    <w:p w:rsidR="00991F36" w:rsidRPr="00B53171" w:rsidRDefault="00991F36" w:rsidP="001D61BB">
      <w:pPr>
        <w:jc w:val="center"/>
        <w:rPr>
          <w:b/>
        </w:rPr>
      </w:pPr>
      <w:r w:rsidRPr="00B53171">
        <w:rPr>
          <w:b/>
        </w:rPr>
        <w:t>PADMN 6320</w:t>
      </w:r>
      <w:r w:rsidR="00FB6ADA" w:rsidRPr="00B53171">
        <w:rPr>
          <w:b/>
        </w:rPr>
        <w:t>/5320</w:t>
      </w:r>
      <w:r w:rsidRPr="00B53171">
        <w:rPr>
          <w:b/>
        </w:rPr>
        <w:t>-001</w:t>
      </w:r>
    </w:p>
    <w:p w:rsidR="00991F36" w:rsidRDefault="00991F36" w:rsidP="001D61BB">
      <w:pPr>
        <w:jc w:val="center"/>
      </w:pPr>
      <w:r>
        <w:t>Fall 2018</w:t>
      </w:r>
    </w:p>
    <w:p w:rsidR="009C777E" w:rsidRDefault="009C777E" w:rsidP="001D61BB">
      <w:pPr>
        <w:jc w:val="center"/>
      </w:pPr>
      <w:r>
        <w:t>Professor Lina Svedin</w:t>
      </w:r>
    </w:p>
    <w:p w:rsidR="00991F36" w:rsidRDefault="00991F36" w:rsidP="001D61BB">
      <w:pPr>
        <w:jc w:val="center"/>
      </w:pPr>
      <w:r>
        <w:t>Wednesdays 6-9pm, Room GC 1560</w:t>
      </w:r>
    </w:p>
    <w:p w:rsidR="00365463" w:rsidRPr="00365463" w:rsidRDefault="00365463" w:rsidP="00365463">
      <w:pPr>
        <w:pStyle w:val="NoSpacing"/>
      </w:pPr>
    </w:p>
    <w:p w:rsidR="00365463" w:rsidRPr="00365463" w:rsidRDefault="00365463" w:rsidP="00365463">
      <w:pPr>
        <w:pStyle w:val="NoSpacing"/>
      </w:pPr>
      <w:r w:rsidRPr="00365463">
        <w:t xml:space="preserve"> </w:t>
      </w:r>
    </w:p>
    <w:p w:rsidR="00365463" w:rsidRPr="00365463" w:rsidRDefault="00365463" w:rsidP="00365463">
      <w:pPr>
        <w:pStyle w:val="NoSpacing"/>
        <w:rPr>
          <w:color w:val="252525"/>
          <w:sz w:val="36"/>
          <w:szCs w:val="36"/>
        </w:rPr>
      </w:pPr>
      <w:r w:rsidRPr="00365463">
        <w:rPr>
          <w:b/>
          <w:bCs/>
          <w:color w:val="252525"/>
          <w:sz w:val="36"/>
          <w:szCs w:val="36"/>
        </w:rPr>
        <w:t>C</w:t>
      </w:r>
      <w:r>
        <w:rPr>
          <w:b/>
          <w:bCs/>
          <w:color w:val="252525"/>
          <w:sz w:val="36"/>
          <w:szCs w:val="36"/>
        </w:rPr>
        <w:t>ourse description and objectives</w:t>
      </w:r>
    </w:p>
    <w:p w:rsidR="00365463" w:rsidRPr="00365463" w:rsidRDefault="00365463" w:rsidP="00365463">
      <w:pPr>
        <w:pStyle w:val="NoSpacing"/>
        <w:rPr>
          <w:color w:val="252525"/>
        </w:rPr>
      </w:pPr>
      <w:r w:rsidRPr="00365463">
        <w:rPr>
          <w:color w:val="252525"/>
        </w:rPr>
        <w:t xml:space="preserve">This course provides an introduction to the critical examination public policy making in democratic societies, with an emphasis on the United States. Public policy processes are shaped by their particular historical, cultural, and environmental contexts, and involve any number of actors within and outside of government - all motivated by their own beliefs and interests. To gain traction on this complexity, the course covers several theoretical approaches as “lenses” through which public policy problems and processes can be analyzed and understood. In addition to developing a general theoretical toolkit for understanding policy processes, students </w:t>
      </w:r>
      <w:r>
        <w:rPr>
          <w:color w:val="252525"/>
        </w:rPr>
        <w:t xml:space="preserve">apply theoretical frames to </w:t>
      </w:r>
      <w:r w:rsidR="00AE32F8">
        <w:rPr>
          <w:color w:val="252525"/>
        </w:rPr>
        <w:t xml:space="preserve">a range of </w:t>
      </w:r>
      <w:r>
        <w:rPr>
          <w:color w:val="252525"/>
        </w:rPr>
        <w:t xml:space="preserve">sample policy areas. Students will also </w:t>
      </w:r>
      <w:r w:rsidRPr="00365463">
        <w:rPr>
          <w:color w:val="252525"/>
        </w:rPr>
        <w:t xml:space="preserve">examine an empirical policy </w:t>
      </w:r>
      <w:r>
        <w:rPr>
          <w:color w:val="252525"/>
        </w:rPr>
        <w:t>area</w:t>
      </w:r>
      <w:r w:rsidRPr="00365463">
        <w:rPr>
          <w:color w:val="252525"/>
        </w:rPr>
        <w:t xml:space="preserve"> of their choosing through course assignments. By the end of the course students should be able to: </w:t>
      </w:r>
    </w:p>
    <w:p w:rsidR="00365463" w:rsidRDefault="00365463" w:rsidP="00365463">
      <w:pPr>
        <w:pStyle w:val="NoSpacing"/>
        <w:numPr>
          <w:ilvl w:val="0"/>
          <w:numId w:val="12"/>
        </w:numPr>
        <w:rPr>
          <w:color w:val="252525"/>
        </w:rPr>
      </w:pPr>
      <w:r w:rsidRPr="00365463">
        <w:rPr>
          <w:color w:val="252525"/>
        </w:rPr>
        <w:t>Describe empirical (i.e. real-world) policy processes through the use of theoretical concepts to identify and explain the role of important policy m</w:t>
      </w:r>
      <w:r>
        <w:rPr>
          <w:color w:val="252525"/>
        </w:rPr>
        <w:t xml:space="preserve">aking/implementation elements. </w:t>
      </w:r>
    </w:p>
    <w:p w:rsidR="00365463" w:rsidRPr="00365463" w:rsidRDefault="00365463" w:rsidP="00365463">
      <w:pPr>
        <w:pStyle w:val="NoSpacing"/>
        <w:numPr>
          <w:ilvl w:val="0"/>
          <w:numId w:val="12"/>
        </w:numPr>
        <w:rPr>
          <w:color w:val="252525"/>
        </w:rPr>
      </w:pPr>
      <w:r w:rsidRPr="00365463">
        <w:rPr>
          <w:color w:val="252525"/>
        </w:rPr>
        <w:t xml:space="preserve">Analyze empirical policy processes through the use of an appropriate policy theory (or theories) to explain their outcomes, such as policy change or stasis. </w:t>
      </w:r>
    </w:p>
    <w:p w:rsidR="00365463" w:rsidRDefault="00365463" w:rsidP="00365463">
      <w:pPr>
        <w:pStyle w:val="NoSpacing"/>
        <w:numPr>
          <w:ilvl w:val="0"/>
          <w:numId w:val="12"/>
        </w:numPr>
        <w:rPr>
          <w:color w:val="252525"/>
        </w:rPr>
      </w:pPr>
      <w:r w:rsidRPr="00365463">
        <w:rPr>
          <w:color w:val="252525"/>
        </w:rPr>
        <w:t>Apply practical insights from policy theories to more effectively navigate empirical policy processes and inf</w:t>
      </w:r>
      <w:r>
        <w:rPr>
          <w:color w:val="252525"/>
        </w:rPr>
        <w:t>luence public policy decisions.</w:t>
      </w:r>
    </w:p>
    <w:p w:rsidR="00365463" w:rsidRPr="00365463" w:rsidRDefault="00365463" w:rsidP="00365463">
      <w:pPr>
        <w:pStyle w:val="NoSpacing"/>
        <w:numPr>
          <w:ilvl w:val="0"/>
          <w:numId w:val="12"/>
        </w:numPr>
        <w:rPr>
          <w:color w:val="252525"/>
        </w:rPr>
      </w:pPr>
      <w:r>
        <w:rPr>
          <w:color w:val="252525"/>
        </w:rPr>
        <w:t>Identify and critically assess the values, voice and efficacy of different stakeholders in a policy area as well as analyze how policy history, framing and institutional structures may contribute to stakeholders differing political efficacy.</w:t>
      </w:r>
    </w:p>
    <w:p w:rsidR="009B63F1" w:rsidRPr="00837516" w:rsidRDefault="009B63F1" w:rsidP="00365463">
      <w:pPr>
        <w:pStyle w:val="NoSpacing"/>
        <w:rPr>
          <w:rFonts w:cstheme="minorHAnsi"/>
        </w:rPr>
      </w:pPr>
    </w:p>
    <w:p w:rsidR="00837516" w:rsidRPr="00837516" w:rsidRDefault="00837516" w:rsidP="00837516">
      <w:pPr>
        <w:autoSpaceDE w:val="0"/>
        <w:autoSpaceDN w:val="0"/>
        <w:adjustRightInd w:val="0"/>
        <w:spacing w:after="0" w:line="240" w:lineRule="auto"/>
        <w:rPr>
          <w:rFonts w:cstheme="minorHAnsi"/>
          <w:color w:val="000000"/>
        </w:rPr>
      </w:pPr>
    </w:p>
    <w:p w:rsidR="00837516" w:rsidRPr="00837516" w:rsidRDefault="00837516" w:rsidP="00837516">
      <w:pPr>
        <w:autoSpaceDE w:val="0"/>
        <w:autoSpaceDN w:val="0"/>
        <w:adjustRightInd w:val="0"/>
        <w:spacing w:after="0" w:line="240" w:lineRule="auto"/>
        <w:rPr>
          <w:rFonts w:cstheme="minorHAnsi"/>
          <w:color w:val="000000"/>
        </w:rPr>
      </w:pPr>
      <w:r w:rsidRPr="00837516">
        <w:rPr>
          <w:rFonts w:cstheme="minorHAnsi"/>
          <w:color w:val="000000"/>
        </w:rPr>
        <w:t xml:space="preserve"> </w:t>
      </w:r>
    </w:p>
    <w:p w:rsidR="00837516" w:rsidRPr="00837516" w:rsidRDefault="00837516" w:rsidP="00837516">
      <w:pPr>
        <w:autoSpaceDE w:val="0"/>
        <w:autoSpaceDN w:val="0"/>
        <w:adjustRightInd w:val="0"/>
        <w:spacing w:after="0" w:line="240" w:lineRule="auto"/>
        <w:rPr>
          <w:rFonts w:cstheme="minorHAnsi"/>
          <w:color w:val="252525"/>
          <w:sz w:val="36"/>
          <w:szCs w:val="36"/>
        </w:rPr>
      </w:pPr>
      <w:r w:rsidRPr="00837516">
        <w:rPr>
          <w:rFonts w:cstheme="minorHAnsi"/>
          <w:b/>
          <w:bCs/>
          <w:color w:val="252525"/>
          <w:sz w:val="36"/>
          <w:szCs w:val="36"/>
        </w:rPr>
        <w:t>R</w:t>
      </w:r>
      <w:r>
        <w:rPr>
          <w:rFonts w:cstheme="minorHAnsi"/>
          <w:b/>
          <w:bCs/>
          <w:color w:val="252525"/>
          <w:sz w:val="36"/>
          <w:szCs w:val="36"/>
        </w:rPr>
        <w:t>equired materials</w:t>
      </w:r>
      <w:r w:rsidRPr="00837516">
        <w:rPr>
          <w:rFonts w:cstheme="minorHAnsi"/>
          <w:b/>
          <w:bCs/>
          <w:color w:val="252525"/>
          <w:sz w:val="36"/>
          <w:szCs w:val="36"/>
        </w:rPr>
        <w:t xml:space="preserve"> </w:t>
      </w:r>
    </w:p>
    <w:p w:rsidR="00837516" w:rsidRPr="00837516" w:rsidRDefault="00837516" w:rsidP="00837516">
      <w:pPr>
        <w:pStyle w:val="NoSpacing"/>
        <w:rPr>
          <w:rFonts w:cstheme="minorHAnsi"/>
          <w:color w:val="252525"/>
        </w:rPr>
      </w:pPr>
      <w:r w:rsidRPr="00837516">
        <w:rPr>
          <w:rFonts w:cstheme="minorHAnsi"/>
          <w:color w:val="252525"/>
        </w:rPr>
        <w:t>There is no text book for this course. Instead, we</w:t>
      </w:r>
      <w:r>
        <w:rPr>
          <w:rFonts w:cstheme="minorHAnsi"/>
          <w:color w:val="252525"/>
        </w:rPr>
        <w:t xml:space="preserve"> wi</w:t>
      </w:r>
      <w:r w:rsidRPr="00837516">
        <w:rPr>
          <w:rFonts w:cstheme="minorHAnsi"/>
          <w:color w:val="252525"/>
        </w:rPr>
        <w:t>ll draw heavily from schol</w:t>
      </w:r>
      <w:r>
        <w:rPr>
          <w:rFonts w:cstheme="minorHAnsi"/>
          <w:color w:val="252525"/>
        </w:rPr>
        <w:t>arly journal articles and a hand</w:t>
      </w:r>
      <w:r w:rsidRPr="00837516">
        <w:rPr>
          <w:rFonts w:cstheme="minorHAnsi"/>
          <w:color w:val="252525"/>
        </w:rPr>
        <w:t xml:space="preserve">ful of book excerpts. All required materials will be provided or linked to through the course Canvas website. This course makes extensive use of Canvas, as discussed in the </w:t>
      </w:r>
      <w:r>
        <w:rPr>
          <w:rFonts w:cstheme="minorHAnsi"/>
          <w:color w:val="252525"/>
        </w:rPr>
        <w:t>Expectations &amp; Requirements sec</w:t>
      </w:r>
      <w:r w:rsidRPr="00837516">
        <w:rPr>
          <w:rFonts w:cstheme="minorHAnsi"/>
          <w:color w:val="252525"/>
        </w:rPr>
        <w:t>tion of this syllabus.</w:t>
      </w:r>
    </w:p>
    <w:p w:rsidR="00837516" w:rsidRPr="00837516" w:rsidRDefault="00837516" w:rsidP="00837516">
      <w:pPr>
        <w:pStyle w:val="NoSpacing"/>
        <w:rPr>
          <w:rFonts w:cstheme="minorHAnsi"/>
        </w:rPr>
      </w:pPr>
    </w:p>
    <w:tbl>
      <w:tblPr>
        <w:tblStyle w:val="TableGridLight"/>
        <w:tblW w:w="13495" w:type="dxa"/>
        <w:tblLook w:val="04A0" w:firstRow="1" w:lastRow="0" w:firstColumn="1" w:lastColumn="0" w:noHBand="0" w:noVBand="1"/>
      </w:tblPr>
      <w:tblGrid>
        <w:gridCol w:w="1150"/>
        <w:gridCol w:w="1964"/>
        <w:gridCol w:w="3209"/>
        <w:gridCol w:w="3904"/>
        <w:gridCol w:w="3268"/>
      </w:tblGrid>
      <w:tr w:rsidR="007B61A5" w:rsidTr="00EA7029">
        <w:tc>
          <w:tcPr>
            <w:tcW w:w="1150" w:type="dxa"/>
          </w:tcPr>
          <w:p w:rsidR="007B61A5" w:rsidRDefault="007B61A5">
            <w:r>
              <w:t>DATE</w:t>
            </w:r>
          </w:p>
        </w:tc>
        <w:tc>
          <w:tcPr>
            <w:tcW w:w="1964" w:type="dxa"/>
          </w:tcPr>
          <w:p w:rsidR="007B61A5" w:rsidRDefault="007B61A5">
            <w:r>
              <w:t>TOPIC</w:t>
            </w:r>
          </w:p>
        </w:tc>
        <w:tc>
          <w:tcPr>
            <w:tcW w:w="3209" w:type="dxa"/>
          </w:tcPr>
          <w:p w:rsidR="007B61A5" w:rsidRDefault="007B61A5">
            <w:r>
              <w:t>IDEAS COVERED</w:t>
            </w:r>
          </w:p>
        </w:tc>
        <w:tc>
          <w:tcPr>
            <w:tcW w:w="3904" w:type="dxa"/>
          </w:tcPr>
          <w:p w:rsidR="007B61A5" w:rsidRDefault="007B61A5">
            <w:r>
              <w:t>READINGS</w:t>
            </w:r>
          </w:p>
        </w:tc>
        <w:tc>
          <w:tcPr>
            <w:tcW w:w="3268" w:type="dxa"/>
          </w:tcPr>
          <w:p w:rsidR="007B61A5" w:rsidRDefault="007B61A5">
            <w:r>
              <w:t>ASSIGNMENT</w:t>
            </w:r>
          </w:p>
        </w:tc>
      </w:tr>
      <w:tr w:rsidR="007B61A5" w:rsidTr="00EA7029">
        <w:tc>
          <w:tcPr>
            <w:tcW w:w="1150" w:type="dxa"/>
          </w:tcPr>
          <w:p w:rsidR="007B61A5" w:rsidRDefault="007B61A5">
            <w:r>
              <w:t>Aug 22</w:t>
            </w:r>
          </w:p>
        </w:tc>
        <w:tc>
          <w:tcPr>
            <w:tcW w:w="1964" w:type="dxa"/>
          </w:tcPr>
          <w:p w:rsidR="007B61A5" w:rsidRDefault="007B61A5">
            <w:r>
              <w:t>Introduction to American public policy theory &amp; application</w:t>
            </w:r>
          </w:p>
        </w:tc>
        <w:tc>
          <w:tcPr>
            <w:tcW w:w="3209" w:type="dxa"/>
          </w:tcPr>
          <w:p w:rsidR="007B61A5" w:rsidRDefault="007B61A5">
            <w:r>
              <w:t>What is policy?</w:t>
            </w:r>
          </w:p>
          <w:p w:rsidR="007B61A5" w:rsidRDefault="007B61A5">
            <w:r>
              <w:t>Who is in policy?</w:t>
            </w:r>
          </w:p>
          <w:p w:rsidR="007B61A5" w:rsidRDefault="007B61A5">
            <w:r>
              <w:t>How is policy affecting people’s lives?</w:t>
            </w:r>
          </w:p>
          <w:p w:rsidR="007B61A5" w:rsidRDefault="007B61A5">
            <w:r>
              <w:t>Which brings us to</w:t>
            </w:r>
            <w:r w:rsidR="00E16A35">
              <w:t>,</w:t>
            </w:r>
            <w:r>
              <w:t xml:space="preserve"> why is policy so cool to study?</w:t>
            </w:r>
          </w:p>
          <w:p w:rsidR="007B61A5" w:rsidRDefault="007B61A5">
            <w:r>
              <w:t>The development of the American administrative state</w:t>
            </w:r>
          </w:p>
          <w:p w:rsidR="007B61A5" w:rsidRDefault="007B61A5">
            <w:r>
              <w:t>The politics-administration dichotomy</w:t>
            </w:r>
          </w:p>
          <w:p w:rsidR="007B61A5" w:rsidRDefault="007B61A5">
            <w:r>
              <w:t>Public service ethos</w:t>
            </w:r>
          </w:p>
          <w:p w:rsidR="007B61A5" w:rsidRDefault="007B61A5">
            <w:r>
              <w:t>How do we study policy?</w:t>
            </w:r>
          </w:p>
          <w:p w:rsidR="007B61A5" w:rsidRDefault="007B61A5">
            <w:r>
              <w:t>How is policy made?</w:t>
            </w:r>
          </w:p>
          <w:p w:rsidR="00E16A35" w:rsidRDefault="00E16A35" w:rsidP="00EE06CD">
            <w:r>
              <w:t>We are going to read original chapters/articles even if they have been developed since then and tested, because ideas matter</w:t>
            </w:r>
            <w:r w:rsidR="00EE06CD">
              <w:t xml:space="preserve"> Acquainting yourself w a policy area: three ways of mapping. </w:t>
            </w:r>
            <w:r w:rsidR="0062798B">
              <w:t>Introduce</w:t>
            </w:r>
            <w:r w:rsidR="00EE06CD">
              <w:t xml:space="preserve"> stakeholder analysis, regulatory actors, policy development and reform</w:t>
            </w:r>
          </w:p>
        </w:tc>
        <w:tc>
          <w:tcPr>
            <w:tcW w:w="3904" w:type="dxa"/>
          </w:tcPr>
          <w:p w:rsidR="001B18BE" w:rsidRDefault="001B18BE" w:rsidP="005F2473">
            <w:pPr>
              <w:shd w:val="clear" w:color="auto" w:fill="A8D08D" w:themeFill="accent6" w:themeFillTint="99"/>
              <w:rPr>
                <w:rFonts w:ascii="Segoe UI" w:hAnsi="Segoe UI" w:cs="Segoe UI"/>
                <w:sz w:val="18"/>
                <w:szCs w:val="18"/>
              </w:rPr>
            </w:pPr>
            <w:r>
              <w:rPr>
                <w:rFonts w:ascii="Segoe UI" w:hAnsi="Segoe UI" w:cs="Segoe UI"/>
                <w:sz w:val="18"/>
                <w:szCs w:val="18"/>
              </w:rPr>
              <w:t>Required:</w:t>
            </w:r>
          </w:p>
          <w:p w:rsidR="00EB0E2E" w:rsidRDefault="00EB0E2E" w:rsidP="005F2473">
            <w:pPr>
              <w:shd w:val="clear" w:color="auto" w:fill="A8D08D" w:themeFill="accent6" w:themeFillTint="99"/>
              <w:rPr>
                <w:rFonts w:ascii="Segoe UI" w:hAnsi="Segoe UI" w:cs="Segoe UI"/>
                <w:sz w:val="18"/>
                <w:szCs w:val="18"/>
              </w:rPr>
            </w:pPr>
            <w:r>
              <w:rPr>
                <w:rFonts w:ascii="Segoe UI" w:hAnsi="Segoe UI" w:cs="Segoe UI"/>
                <w:sz w:val="18"/>
                <w:szCs w:val="18"/>
              </w:rPr>
              <w:t xml:space="preserve">Dobel, P. J. (1999). Integrity in Office. In </w:t>
            </w:r>
            <w:r>
              <w:rPr>
                <w:rFonts w:ascii="Segoe UI" w:hAnsi="Segoe UI" w:cs="Segoe UI"/>
                <w:i/>
                <w:iCs/>
                <w:sz w:val="18"/>
                <w:szCs w:val="18"/>
              </w:rPr>
              <w:t>Public Integrity</w:t>
            </w:r>
            <w:r>
              <w:rPr>
                <w:rFonts w:ascii="Segoe UI" w:hAnsi="Segoe UI" w:cs="Segoe UI"/>
                <w:sz w:val="18"/>
                <w:szCs w:val="18"/>
              </w:rPr>
              <w:t xml:space="preserve"> (pp. 1-22). Baltimore, MD: The Johns Hopkins University Press.</w:t>
            </w:r>
          </w:p>
          <w:p w:rsidR="00EB0E2E" w:rsidRDefault="00EB0E2E" w:rsidP="005F2473">
            <w:pPr>
              <w:shd w:val="clear" w:color="auto" w:fill="A8D08D" w:themeFill="accent6" w:themeFillTint="99"/>
              <w:rPr>
                <w:rFonts w:ascii="Segoe UI" w:hAnsi="Segoe UI" w:cs="Segoe UI"/>
                <w:sz w:val="18"/>
                <w:szCs w:val="18"/>
              </w:rPr>
            </w:pPr>
            <w:r>
              <w:rPr>
                <w:rFonts w:ascii="Segoe UI" w:hAnsi="Segoe UI" w:cs="Segoe UI"/>
                <w:sz w:val="18"/>
                <w:szCs w:val="18"/>
              </w:rPr>
              <w:t xml:space="preserve">Rohr, J. A. (1998). Ethics for </w:t>
            </w:r>
            <w:proofErr w:type="spellStart"/>
            <w:r>
              <w:rPr>
                <w:rFonts w:ascii="Segoe UI" w:hAnsi="Segoe UI" w:cs="Segoe UI"/>
                <w:sz w:val="18"/>
                <w:szCs w:val="18"/>
              </w:rPr>
              <w:t>Bureacrats</w:t>
            </w:r>
            <w:proofErr w:type="spellEnd"/>
            <w:r>
              <w:rPr>
                <w:rFonts w:ascii="Segoe UI" w:hAnsi="Segoe UI" w:cs="Segoe UI"/>
                <w:sz w:val="18"/>
                <w:szCs w:val="18"/>
              </w:rPr>
              <w:t xml:space="preserve">. In </w:t>
            </w:r>
            <w:r>
              <w:rPr>
                <w:rFonts w:ascii="Segoe UI" w:hAnsi="Segoe UI" w:cs="Segoe UI"/>
                <w:i/>
                <w:iCs/>
                <w:sz w:val="18"/>
                <w:szCs w:val="18"/>
              </w:rPr>
              <w:t xml:space="preserve">Public Service, Ethics, and </w:t>
            </w:r>
            <w:proofErr w:type="spellStart"/>
            <w:r>
              <w:rPr>
                <w:rFonts w:ascii="Segoe UI" w:hAnsi="Segoe UI" w:cs="Segoe UI"/>
                <w:i/>
                <w:iCs/>
                <w:sz w:val="18"/>
                <w:szCs w:val="18"/>
              </w:rPr>
              <w:t>Consittutional</w:t>
            </w:r>
            <w:proofErr w:type="spellEnd"/>
            <w:r>
              <w:rPr>
                <w:rFonts w:ascii="Segoe UI" w:hAnsi="Segoe UI" w:cs="Segoe UI"/>
                <w:i/>
                <w:iCs/>
                <w:sz w:val="18"/>
                <w:szCs w:val="18"/>
              </w:rPr>
              <w:t xml:space="preserve"> Practice</w:t>
            </w:r>
            <w:r>
              <w:rPr>
                <w:rFonts w:ascii="Segoe UI" w:hAnsi="Segoe UI" w:cs="Segoe UI"/>
                <w:sz w:val="18"/>
                <w:szCs w:val="18"/>
              </w:rPr>
              <w:t xml:space="preserve"> (pp. 3-8). Lawrence, KS: University of Kansas Press.</w:t>
            </w:r>
          </w:p>
          <w:p w:rsidR="00105CE7" w:rsidRPr="001B18BE" w:rsidRDefault="001B18BE" w:rsidP="00105CE7">
            <w:pPr>
              <w:rPr>
                <w:rFonts w:ascii="Segoe UI" w:hAnsi="Segoe UI" w:cs="Segoe UI"/>
                <w:sz w:val="18"/>
                <w:szCs w:val="18"/>
              </w:rPr>
            </w:pPr>
            <w:r w:rsidRPr="001B18BE">
              <w:rPr>
                <w:rFonts w:ascii="Segoe UI" w:hAnsi="Segoe UI" w:cs="Segoe UI"/>
                <w:sz w:val="18"/>
                <w:szCs w:val="18"/>
              </w:rPr>
              <w:t>Recommended, not required:</w:t>
            </w:r>
          </w:p>
          <w:p w:rsidR="005F1CAD" w:rsidRDefault="005F1CAD" w:rsidP="005F1CAD">
            <w:pPr>
              <w:shd w:val="clear" w:color="auto" w:fill="A8D08D" w:themeFill="accent6" w:themeFillTint="99"/>
              <w:rPr>
                <w:rFonts w:ascii="Segoe UI" w:hAnsi="Segoe UI" w:cs="Segoe UI"/>
                <w:sz w:val="18"/>
                <w:szCs w:val="18"/>
              </w:rPr>
            </w:pPr>
            <w:r>
              <w:rPr>
                <w:rFonts w:ascii="Segoe UI" w:hAnsi="Segoe UI" w:cs="Segoe UI"/>
                <w:sz w:val="18"/>
                <w:szCs w:val="18"/>
              </w:rPr>
              <w:t xml:space="preserve">Van Riper, P. P. (1999). Why Public Administration: When Not to Privatize. </w:t>
            </w:r>
            <w:r>
              <w:rPr>
                <w:rFonts w:ascii="Segoe UI" w:hAnsi="Segoe UI" w:cs="Segoe UI"/>
                <w:i/>
                <w:iCs/>
                <w:sz w:val="18"/>
                <w:szCs w:val="18"/>
              </w:rPr>
              <w:t>Administrative Theory &amp; Praxis, 21</w:t>
            </w:r>
            <w:r>
              <w:rPr>
                <w:rFonts w:ascii="Segoe UI" w:hAnsi="Segoe UI" w:cs="Segoe UI"/>
                <w:sz w:val="18"/>
                <w:szCs w:val="18"/>
              </w:rPr>
              <w:t xml:space="preserve">(3), 362-370. </w:t>
            </w:r>
          </w:p>
          <w:p w:rsidR="00EB0E2E" w:rsidRDefault="00EB0E2E">
            <w:pPr>
              <w:rPr>
                <w:rFonts w:ascii="Segoe UI" w:hAnsi="Segoe UI" w:cs="Segoe UI"/>
                <w:sz w:val="18"/>
                <w:szCs w:val="18"/>
              </w:rPr>
            </w:pPr>
            <w:r>
              <w:rPr>
                <w:rFonts w:ascii="Segoe UI" w:hAnsi="Segoe UI" w:cs="Segoe UI"/>
                <w:sz w:val="18"/>
                <w:szCs w:val="18"/>
              </w:rPr>
              <w:t xml:space="preserve">Rohr, J. A. (1998). Civil Servants as Second-Class Citizens. In </w:t>
            </w:r>
            <w:r>
              <w:rPr>
                <w:rFonts w:ascii="Segoe UI" w:hAnsi="Segoe UI" w:cs="Segoe UI"/>
                <w:i/>
                <w:iCs/>
                <w:sz w:val="18"/>
                <w:szCs w:val="18"/>
              </w:rPr>
              <w:t xml:space="preserve">Public Service, Ethics, and </w:t>
            </w:r>
            <w:proofErr w:type="spellStart"/>
            <w:r>
              <w:rPr>
                <w:rFonts w:ascii="Segoe UI" w:hAnsi="Segoe UI" w:cs="Segoe UI"/>
                <w:i/>
                <w:iCs/>
                <w:sz w:val="18"/>
                <w:szCs w:val="18"/>
              </w:rPr>
              <w:t>Consittutional</w:t>
            </w:r>
            <w:proofErr w:type="spellEnd"/>
            <w:r>
              <w:rPr>
                <w:rFonts w:ascii="Segoe UI" w:hAnsi="Segoe UI" w:cs="Segoe UI"/>
                <w:i/>
                <w:iCs/>
                <w:sz w:val="18"/>
                <w:szCs w:val="18"/>
              </w:rPr>
              <w:t xml:space="preserve"> Practice</w:t>
            </w:r>
            <w:r>
              <w:rPr>
                <w:rFonts w:ascii="Segoe UI" w:hAnsi="Segoe UI" w:cs="Segoe UI"/>
                <w:sz w:val="18"/>
                <w:szCs w:val="18"/>
              </w:rPr>
              <w:t xml:space="preserve"> (pp. 59-66). Lawrence, KS: University of Kansas Press.</w:t>
            </w:r>
          </w:p>
          <w:p w:rsidR="00E16A35" w:rsidRDefault="00EB55D9" w:rsidP="0026311B">
            <w:r w:rsidRPr="00EB55D9">
              <w:rPr>
                <w:color w:val="0070C0"/>
              </w:rPr>
              <w:t xml:space="preserve">CQ article on </w:t>
            </w:r>
            <w:r w:rsidR="0026311B">
              <w:rPr>
                <w:color w:val="0070C0"/>
              </w:rPr>
              <w:t xml:space="preserve">housing the </w:t>
            </w:r>
            <w:r w:rsidRPr="00EB55D9">
              <w:rPr>
                <w:color w:val="0070C0"/>
              </w:rPr>
              <w:t xml:space="preserve">homeless, </w:t>
            </w:r>
            <w:r w:rsidR="0026311B">
              <w:rPr>
                <w:color w:val="0070C0"/>
              </w:rPr>
              <w:t>immigrant detention, sentencing reform, financial reform</w:t>
            </w:r>
          </w:p>
        </w:tc>
        <w:tc>
          <w:tcPr>
            <w:tcW w:w="3268" w:type="dxa"/>
          </w:tcPr>
          <w:p w:rsidR="00EB55D9" w:rsidRDefault="00EB55D9">
            <w:r>
              <w:t>In assigned groups work on:</w:t>
            </w:r>
          </w:p>
          <w:p w:rsidR="007B61A5" w:rsidRDefault="007B61A5">
            <w:r>
              <w:t>Who cares? - Stakeholder mapping</w:t>
            </w:r>
          </w:p>
          <w:p w:rsidR="007B61A5" w:rsidRDefault="007B61A5">
            <w:r>
              <w:t>Whose desk is it</w:t>
            </w:r>
            <w:r w:rsidR="00EE06CD">
              <w:t xml:space="preserve"> on</w:t>
            </w:r>
            <w:r>
              <w:t>? – regulatory mapping</w:t>
            </w:r>
          </w:p>
          <w:p w:rsidR="00EB55D9" w:rsidRDefault="007B61A5">
            <w:r>
              <w:t>Follow a policy through time and hands – policy mapping</w:t>
            </w:r>
            <w:r w:rsidR="00EB55D9">
              <w:t xml:space="preserve"> </w:t>
            </w:r>
          </w:p>
          <w:p w:rsidR="007B61A5" w:rsidRDefault="007B61A5"/>
        </w:tc>
      </w:tr>
      <w:tr w:rsidR="007B61A5" w:rsidTr="00EA7029">
        <w:tc>
          <w:tcPr>
            <w:tcW w:w="1150" w:type="dxa"/>
            <w:shd w:val="clear" w:color="auto" w:fill="FFE599" w:themeFill="accent4" w:themeFillTint="66"/>
          </w:tcPr>
          <w:p w:rsidR="007B61A5" w:rsidRDefault="007B61A5">
            <w:r>
              <w:t>Aug 29</w:t>
            </w:r>
          </w:p>
        </w:tc>
        <w:tc>
          <w:tcPr>
            <w:tcW w:w="1964" w:type="dxa"/>
            <w:shd w:val="clear" w:color="auto" w:fill="FFE599" w:themeFill="accent4" w:themeFillTint="66"/>
          </w:tcPr>
          <w:p w:rsidR="007B61A5" w:rsidRDefault="007B61A5">
            <w:r>
              <w:t>The value of theory – what theory can do for us?</w:t>
            </w:r>
          </w:p>
        </w:tc>
        <w:tc>
          <w:tcPr>
            <w:tcW w:w="3209" w:type="dxa"/>
            <w:shd w:val="clear" w:color="auto" w:fill="FFE599" w:themeFill="accent4" w:themeFillTint="66"/>
          </w:tcPr>
          <w:p w:rsidR="007B61A5" w:rsidRDefault="007B61A5" w:rsidP="007B61A5">
            <w:r>
              <w:t xml:space="preserve">Guest lecturer </w:t>
            </w:r>
          </w:p>
        </w:tc>
        <w:tc>
          <w:tcPr>
            <w:tcW w:w="3904" w:type="dxa"/>
            <w:shd w:val="clear" w:color="auto" w:fill="FFE599" w:themeFill="accent4" w:themeFillTint="66"/>
          </w:tcPr>
          <w:p w:rsidR="007B61A5" w:rsidRDefault="007B61A5">
            <w:r>
              <w:t>Readings that guest lecturer suggests</w:t>
            </w:r>
          </w:p>
          <w:p w:rsidR="00EB0E2E" w:rsidRPr="008A4C5F" w:rsidRDefault="00EB0E2E" w:rsidP="005E25CE">
            <w:pPr>
              <w:pStyle w:val="ListParagraph"/>
              <w:numPr>
                <w:ilvl w:val="0"/>
                <w:numId w:val="1"/>
              </w:numPr>
              <w:shd w:val="clear" w:color="auto" w:fill="C5E0B3" w:themeFill="accent6" w:themeFillTint="66"/>
              <w:ind w:left="342" w:hanging="270"/>
              <w:rPr>
                <w:rFonts w:ascii="Segoe UI" w:hAnsi="Segoe UI" w:cs="Segoe UI"/>
                <w:sz w:val="18"/>
                <w:szCs w:val="18"/>
              </w:rPr>
            </w:pPr>
            <w:r w:rsidRPr="008A4C5F">
              <w:rPr>
                <w:rFonts w:ascii="Segoe UI" w:hAnsi="Segoe UI" w:cs="Segoe UI"/>
                <w:sz w:val="18"/>
                <w:szCs w:val="18"/>
              </w:rPr>
              <w:t xml:space="preserve">Argyle, N. J., &amp; Argyle, N. L. (2002). Developing a Foundation: Administration in the Polis. </w:t>
            </w:r>
            <w:r w:rsidRPr="008A4C5F">
              <w:rPr>
                <w:rFonts w:ascii="Segoe UI" w:hAnsi="Segoe UI" w:cs="Segoe UI"/>
                <w:i/>
                <w:iCs/>
                <w:sz w:val="18"/>
                <w:szCs w:val="18"/>
              </w:rPr>
              <w:t>Public Administration Quarterly, 26</w:t>
            </w:r>
            <w:r w:rsidRPr="008A4C5F">
              <w:rPr>
                <w:rFonts w:ascii="Segoe UI" w:hAnsi="Segoe UI" w:cs="Segoe UI"/>
                <w:sz w:val="18"/>
                <w:szCs w:val="18"/>
              </w:rPr>
              <w:t xml:space="preserve">(3/4), 346-372. </w:t>
            </w:r>
          </w:p>
          <w:p w:rsidR="00F20397" w:rsidRPr="008A4C5F" w:rsidRDefault="00F20397" w:rsidP="005E25CE">
            <w:pPr>
              <w:pStyle w:val="ListParagraph"/>
              <w:numPr>
                <w:ilvl w:val="0"/>
                <w:numId w:val="1"/>
              </w:numPr>
              <w:shd w:val="clear" w:color="auto" w:fill="C5E0B3" w:themeFill="accent6" w:themeFillTint="66"/>
              <w:ind w:left="342" w:hanging="270"/>
              <w:rPr>
                <w:rFonts w:ascii="Segoe UI" w:hAnsi="Segoe UI" w:cs="Segoe UI"/>
                <w:sz w:val="18"/>
                <w:szCs w:val="18"/>
              </w:rPr>
            </w:pPr>
            <w:proofErr w:type="spellStart"/>
            <w:r w:rsidRPr="008A4C5F">
              <w:rPr>
                <w:rFonts w:ascii="Segoe UI" w:hAnsi="Segoe UI" w:cs="Segoe UI"/>
                <w:sz w:val="18"/>
                <w:szCs w:val="18"/>
              </w:rPr>
              <w:t>Stillman</w:t>
            </w:r>
            <w:proofErr w:type="spellEnd"/>
            <w:r w:rsidRPr="008A4C5F">
              <w:rPr>
                <w:rFonts w:ascii="Segoe UI" w:hAnsi="Segoe UI" w:cs="Segoe UI"/>
                <w:sz w:val="18"/>
                <w:szCs w:val="18"/>
              </w:rPr>
              <w:t xml:space="preserve">, R. J. (1990). The Peculiar "Stateless" Origins of American Public Administration and the Consequences for Government Today. </w:t>
            </w:r>
            <w:r w:rsidRPr="008A4C5F">
              <w:rPr>
                <w:rFonts w:ascii="Segoe UI" w:hAnsi="Segoe UI" w:cs="Segoe UI"/>
                <w:i/>
                <w:iCs/>
                <w:sz w:val="18"/>
                <w:szCs w:val="18"/>
              </w:rPr>
              <w:t>Public Administration Review, 50</w:t>
            </w:r>
            <w:r w:rsidRPr="008A4C5F">
              <w:rPr>
                <w:rFonts w:ascii="Segoe UI" w:hAnsi="Segoe UI" w:cs="Segoe UI"/>
                <w:sz w:val="18"/>
                <w:szCs w:val="18"/>
              </w:rPr>
              <w:t xml:space="preserve">(2), 156-167. </w:t>
            </w:r>
            <w:proofErr w:type="gramStart"/>
            <w:r w:rsidRPr="008A4C5F">
              <w:rPr>
                <w:rFonts w:ascii="Segoe UI" w:hAnsi="Segoe UI" w:cs="Segoe UI"/>
                <w:sz w:val="18"/>
                <w:szCs w:val="18"/>
              </w:rPr>
              <w:t>doi:</w:t>
            </w:r>
            <w:proofErr w:type="gramEnd"/>
            <w:r w:rsidRPr="008A4C5F">
              <w:rPr>
                <w:rFonts w:ascii="Segoe UI" w:hAnsi="Segoe UI" w:cs="Segoe UI"/>
                <w:sz w:val="18"/>
                <w:szCs w:val="18"/>
              </w:rPr>
              <w:t>10.2307/976863.</w:t>
            </w:r>
          </w:p>
          <w:p w:rsidR="00EB0E2E" w:rsidRPr="008A4C5F" w:rsidRDefault="00EB0E2E" w:rsidP="005E25CE">
            <w:pPr>
              <w:pStyle w:val="ListParagraph"/>
              <w:numPr>
                <w:ilvl w:val="0"/>
                <w:numId w:val="1"/>
              </w:numPr>
              <w:shd w:val="clear" w:color="auto" w:fill="C5E0B3" w:themeFill="accent6" w:themeFillTint="66"/>
              <w:ind w:left="342" w:hanging="270"/>
              <w:rPr>
                <w:rFonts w:ascii="Segoe UI" w:hAnsi="Segoe UI" w:cs="Segoe UI"/>
                <w:sz w:val="18"/>
                <w:szCs w:val="18"/>
              </w:rPr>
            </w:pPr>
            <w:r w:rsidRPr="008A4C5F">
              <w:rPr>
                <w:rFonts w:ascii="Segoe UI" w:hAnsi="Segoe UI" w:cs="Segoe UI"/>
                <w:sz w:val="18"/>
                <w:szCs w:val="18"/>
              </w:rPr>
              <w:lastRenderedPageBreak/>
              <w:t xml:space="preserve">O'Toole, L. J. (1987). Doctrines and Developments: Separation of Powers, the Politics-Administration Dichotomy, and the Rise of the Administrative State. </w:t>
            </w:r>
            <w:r w:rsidRPr="008A4C5F">
              <w:rPr>
                <w:rFonts w:ascii="Segoe UI" w:hAnsi="Segoe UI" w:cs="Segoe UI"/>
                <w:i/>
                <w:iCs/>
                <w:sz w:val="18"/>
                <w:szCs w:val="18"/>
              </w:rPr>
              <w:t>Public Administration Review, 47</w:t>
            </w:r>
            <w:r w:rsidRPr="008A4C5F">
              <w:rPr>
                <w:rFonts w:ascii="Segoe UI" w:hAnsi="Segoe UI" w:cs="Segoe UI"/>
                <w:sz w:val="18"/>
                <w:szCs w:val="18"/>
              </w:rPr>
              <w:t xml:space="preserve">(1), 17-25. </w:t>
            </w:r>
            <w:proofErr w:type="gramStart"/>
            <w:r w:rsidRPr="008A4C5F">
              <w:rPr>
                <w:rFonts w:ascii="Segoe UI" w:hAnsi="Segoe UI" w:cs="Segoe UI"/>
                <w:sz w:val="18"/>
                <w:szCs w:val="18"/>
              </w:rPr>
              <w:t>doi:</w:t>
            </w:r>
            <w:proofErr w:type="gramEnd"/>
            <w:r w:rsidRPr="008A4C5F">
              <w:rPr>
                <w:rFonts w:ascii="Segoe UI" w:hAnsi="Segoe UI" w:cs="Segoe UI"/>
                <w:sz w:val="18"/>
                <w:szCs w:val="18"/>
              </w:rPr>
              <w:t>10.2307/975468.</w:t>
            </w:r>
          </w:p>
          <w:p w:rsidR="00EB0E2E" w:rsidRPr="008A4C5F" w:rsidRDefault="005F1CAD" w:rsidP="005E25CE">
            <w:pPr>
              <w:pStyle w:val="ListParagraph"/>
              <w:numPr>
                <w:ilvl w:val="0"/>
                <w:numId w:val="1"/>
              </w:numPr>
              <w:shd w:val="clear" w:color="auto" w:fill="C5E0B3" w:themeFill="accent6" w:themeFillTint="66"/>
              <w:ind w:left="342" w:hanging="270"/>
              <w:rPr>
                <w:rFonts w:ascii="Segoe UI" w:hAnsi="Segoe UI" w:cs="Segoe UI"/>
                <w:sz w:val="18"/>
                <w:szCs w:val="18"/>
              </w:rPr>
            </w:pPr>
            <w:r>
              <w:rPr>
                <w:rFonts w:ascii="Segoe UI" w:hAnsi="Segoe UI" w:cs="Segoe UI"/>
                <w:sz w:val="18"/>
                <w:szCs w:val="18"/>
              </w:rPr>
              <w:t xml:space="preserve">Bingham, L. B., </w:t>
            </w:r>
            <w:proofErr w:type="spellStart"/>
            <w:r>
              <w:rPr>
                <w:rFonts w:ascii="Segoe UI" w:hAnsi="Segoe UI" w:cs="Segoe UI"/>
                <w:sz w:val="18"/>
                <w:szCs w:val="18"/>
              </w:rPr>
              <w:t>Nabatchi</w:t>
            </w:r>
            <w:proofErr w:type="spellEnd"/>
            <w:r>
              <w:rPr>
                <w:rFonts w:ascii="Segoe UI" w:hAnsi="Segoe UI" w:cs="Segoe UI"/>
                <w:sz w:val="18"/>
                <w:szCs w:val="18"/>
              </w:rPr>
              <w:t xml:space="preserve">, T., &amp; O'Leary, R. (2005). The New Governance: Practices and Processes for Stakeholder and Citizen Participation in the Work of Government. </w:t>
            </w:r>
            <w:r>
              <w:rPr>
                <w:rFonts w:ascii="Segoe UI" w:hAnsi="Segoe UI" w:cs="Segoe UI"/>
                <w:i/>
                <w:iCs/>
                <w:sz w:val="18"/>
                <w:szCs w:val="18"/>
              </w:rPr>
              <w:t>Public Administration Review, 65</w:t>
            </w:r>
            <w:r>
              <w:rPr>
                <w:rFonts w:ascii="Segoe UI" w:hAnsi="Segoe UI" w:cs="Segoe UI"/>
                <w:sz w:val="18"/>
                <w:szCs w:val="18"/>
              </w:rPr>
              <w:t>(5), 547-558.</w:t>
            </w:r>
          </w:p>
          <w:p w:rsidR="009239E5" w:rsidRDefault="009239E5"/>
        </w:tc>
        <w:tc>
          <w:tcPr>
            <w:tcW w:w="3268" w:type="dxa"/>
            <w:shd w:val="clear" w:color="auto" w:fill="FFE599" w:themeFill="accent4" w:themeFillTint="66"/>
          </w:tcPr>
          <w:p w:rsidR="007B61A5" w:rsidRDefault="007B61A5"/>
        </w:tc>
      </w:tr>
      <w:tr w:rsidR="007B61A5" w:rsidTr="00EA7029">
        <w:tc>
          <w:tcPr>
            <w:tcW w:w="1150" w:type="dxa"/>
          </w:tcPr>
          <w:p w:rsidR="007B61A5" w:rsidRDefault="007B61A5">
            <w:r>
              <w:lastRenderedPageBreak/>
              <w:t>Sept 5</w:t>
            </w:r>
          </w:p>
        </w:tc>
        <w:tc>
          <w:tcPr>
            <w:tcW w:w="1964" w:type="dxa"/>
          </w:tcPr>
          <w:p w:rsidR="007B61A5" w:rsidRDefault="007B61A5">
            <w:r>
              <w:t>Linear theory</w:t>
            </w:r>
            <w:r w:rsidR="002E1F16">
              <w:t xml:space="preserve"> and rational man</w:t>
            </w:r>
          </w:p>
        </w:tc>
        <w:tc>
          <w:tcPr>
            <w:tcW w:w="3209" w:type="dxa"/>
          </w:tcPr>
          <w:p w:rsidR="007B61A5" w:rsidRDefault="007B61A5">
            <w:r>
              <w:t>Rational man theory</w:t>
            </w:r>
          </w:p>
          <w:p w:rsidR="007B61A5" w:rsidRDefault="007B61A5">
            <w:r>
              <w:t>Public choice theory</w:t>
            </w:r>
          </w:p>
          <w:p w:rsidR="007B61A5" w:rsidRDefault="007B61A5">
            <w:r>
              <w:t>Tools of government</w:t>
            </w:r>
          </w:p>
          <w:p w:rsidR="007B61A5" w:rsidRDefault="007B61A5">
            <w:r>
              <w:t>Policy adoption Diffusion/innovation</w:t>
            </w:r>
          </w:p>
        </w:tc>
        <w:tc>
          <w:tcPr>
            <w:tcW w:w="3904" w:type="dxa"/>
            <w:shd w:val="clear" w:color="auto" w:fill="auto"/>
          </w:tcPr>
          <w:p w:rsidR="004F1B8A" w:rsidRDefault="004F1B8A" w:rsidP="00AC263F">
            <w:pPr>
              <w:pStyle w:val="ListParagraph"/>
              <w:numPr>
                <w:ilvl w:val="0"/>
                <w:numId w:val="2"/>
              </w:numPr>
              <w:ind w:left="252" w:hanging="252"/>
              <w:rPr>
                <w:rFonts w:ascii="Segoe UI" w:hAnsi="Segoe UI" w:cs="Segoe UI"/>
                <w:sz w:val="18"/>
                <w:szCs w:val="18"/>
              </w:rPr>
            </w:pPr>
            <w:proofErr w:type="spellStart"/>
            <w:r>
              <w:rPr>
                <w:rFonts w:ascii="Segoe UI" w:hAnsi="Segoe UI" w:cs="Segoe UI"/>
                <w:sz w:val="18"/>
                <w:szCs w:val="18"/>
              </w:rPr>
              <w:t>Ostrom</w:t>
            </w:r>
            <w:proofErr w:type="spellEnd"/>
            <w:r>
              <w:rPr>
                <w:rFonts w:ascii="Segoe UI" w:hAnsi="Segoe UI" w:cs="Segoe UI"/>
                <w:sz w:val="18"/>
                <w:szCs w:val="18"/>
              </w:rPr>
              <w:t xml:space="preserve">, E. Institutional Rational Choice. In P. Sabatier (Ed.), </w:t>
            </w:r>
            <w:r>
              <w:rPr>
                <w:rFonts w:ascii="Segoe UI" w:hAnsi="Segoe UI" w:cs="Segoe UI"/>
                <w:i/>
                <w:iCs/>
                <w:sz w:val="18"/>
                <w:szCs w:val="18"/>
              </w:rPr>
              <w:t>Public Policy Theory and Application</w:t>
            </w:r>
            <w:r>
              <w:rPr>
                <w:rFonts w:ascii="Segoe UI" w:hAnsi="Segoe UI" w:cs="Segoe UI"/>
                <w:sz w:val="18"/>
                <w:szCs w:val="18"/>
              </w:rPr>
              <w:t xml:space="preserve"> (pp. 21).</w:t>
            </w:r>
          </w:p>
          <w:p w:rsidR="00F00A77" w:rsidRPr="005E25CE" w:rsidRDefault="006C3A4B" w:rsidP="00AC263F">
            <w:pPr>
              <w:pStyle w:val="ListParagraph"/>
              <w:numPr>
                <w:ilvl w:val="0"/>
                <w:numId w:val="2"/>
              </w:numPr>
              <w:ind w:left="252" w:hanging="252"/>
              <w:rPr>
                <w:rFonts w:ascii="Segoe UI" w:hAnsi="Segoe UI" w:cs="Segoe UI"/>
                <w:sz w:val="18"/>
                <w:szCs w:val="18"/>
              </w:rPr>
            </w:pPr>
            <w:r w:rsidRPr="008A4C5F">
              <w:rPr>
                <w:rFonts w:ascii="Segoe UI" w:hAnsi="Segoe UI" w:cs="Segoe UI"/>
                <w:bCs/>
                <w:sz w:val="18"/>
                <w:szCs w:val="18"/>
              </w:rPr>
              <w:t xml:space="preserve">Wood, Dan B. </w:t>
            </w:r>
            <w:r w:rsidR="00F00A77" w:rsidRPr="008A4C5F">
              <w:rPr>
                <w:rFonts w:ascii="Segoe UI" w:hAnsi="Segoe UI" w:cs="Segoe UI"/>
                <w:color w:val="000000"/>
                <w:sz w:val="18"/>
                <w:szCs w:val="18"/>
              </w:rPr>
              <w:t>Principal-Agent Models of Political Control of Bureaucracy. The American Political Science Review, Vol. 83, No. 3 (Sep., 1989), pp. 965-978</w:t>
            </w:r>
            <w:r w:rsidR="005E25CE">
              <w:rPr>
                <w:rFonts w:ascii="Segoe UI" w:hAnsi="Segoe UI" w:cs="Segoe UI"/>
                <w:color w:val="000000"/>
                <w:sz w:val="18"/>
                <w:szCs w:val="18"/>
              </w:rPr>
              <w:t>.</w:t>
            </w:r>
          </w:p>
          <w:p w:rsidR="005E25CE" w:rsidRPr="008A4C5F" w:rsidRDefault="005E25CE" w:rsidP="00AC263F">
            <w:pPr>
              <w:pStyle w:val="ListParagraph"/>
              <w:numPr>
                <w:ilvl w:val="0"/>
                <w:numId w:val="2"/>
              </w:numPr>
              <w:ind w:left="252" w:hanging="252"/>
              <w:rPr>
                <w:rFonts w:ascii="Segoe UI" w:hAnsi="Segoe UI" w:cs="Segoe UI"/>
                <w:sz w:val="18"/>
                <w:szCs w:val="18"/>
              </w:rPr>
            </w:pPr>
            <w:proofErr w:type="spellStart"/>
            <w:r>
              <w:rPr>
                <w:rFonts w:ascii="Segoe UI" w:hAnsi="Segoe UI" w:cs="Segoe UI"/>
                <w:sz w:val="18"/>
                <w:szCs w:val="18"/>
              </w:rPr>
              <w:t>Argyris</w:t>
            </w:r>
            <w:proofErr w:type="spellEnd"/>
            <w:r>
              <w:rPr>
                <w:rFonts w:ascii="Segoe UI" w:hAnsi="Segoe UI" w:cs="Segoe UI"/>
                <w:sz w:val="18"/>
                <w:szCs w:val="18"/>
              </w:rPr>
              <w:t xml:space="preserve">, C. (1973). Some Limits of Rational Man Organizational Theory. </w:t>
            </w:r>
            <w:r>
              <w:rPr>
                <w:rFonts w:ascii="Segoe UI" w:hAnsi="Segoe UI" w:cs="Segoe UI"/>
                <w:i/>
                <w:iCs/>
                <w:sz w:val="18"/>
                <w:szCs w:val="18"/>
              </w:rPr>
              <w:t>Public Administration Review, 33</w:t>
            </w:r>
            <w:r>
              <w:rPr>
                <w:rFonts w:ascii="Segoe UI" w:hAnsi="Segoe UI" w:cs="Segoe UI"/>
                <w:sz w:val="18"/>
                <w:szCs w:val="18"/>
              </w:rPr>
              <w:t>(3), 253-267.</w:t>
            </w:r>
          </w:p>
          <w:p w:rsidR="00CD2C68" w:rsidRDefault="00CD2C68" w:rsidP="00CD2C68">
            <w:pPr>
              <w:pStyle w:val="ListParagraph"/>
              <w:numPr>
                <w:ilvl w:val="0"/>
                <w:numId w:val="2"/>
              </w:numPr>
              <w:autoSpaceDE w:val="0"/>
              <w:autoSpaceDN w:val="0"/>
              <w:adjustRightInd w:val="0"/>
              <w:ind w:left="252" w:hanging="252"/>
              <w:rPr>
                <w:rFonts w:ascii="Segoe UI" w:hAnsi="Segoe UI" w:cs="Segoe UI"/>
                <w:sz w:val="18"/>
                <w:szCs w:val="18"/>
              </w:rPr>
            </w:pPr>
            <w:r>
              <w:rPr>
                <w:rFonts w:ascii="Segoe UI" w:hAnsi="Segoe UI" w:cs="Segoe UI"/>
                <w:sz w:val="18"/>
                <w:szCs w:val="18"/>
              </w:rPr>
              <w:t xml:space="preserve">Salamon, L. M. The New Governance and the Tools for Public Action: An Introduction. In </w:t>
            </w:r>
            <w:r>
              <w:rPr>
                <w:rFonts w:ascii="Segoe UI" w:hAnsi="Segoe UI" w:cs="Segoe UI"/>
                <w:i/>
                <w:iCs/>
                <w:sz w:val="18"/>
                <w:szCs w:val="18"/>
              </w:rPr>
              <w:t>The Tools of Government: A Guide to the New Governance</w:t>
            </w:r>
            <w:r>
              <w:rPr>
                <w:rFonts w:ascii="Segoe UI" w:hAnsi="Segoe UI" w:cs="Segoe UI"/>
                <w:sz w:val="18"/>
                <w:szCs w:val="18"/>
              </w:rPr>
              <w:t xml:space="preserve"> (pp. 1-47). Oxford: Oxford </w:t>
            </w:r>
            <w:proofErr w:type="spellStart"/>
            <w:r>
              <w:rPr>
                <w:rFonts w:ascii="Segoe UI" w:hAnsi="Segoe UI" w:cs="Segoe UI"/>
                <w:sz w:val="18"/>
                <w:szCs w:val="18"/>
              </w:rPr>
              <w:t>Univesity</w:t>
            </w:r>
            <w:proofErr w:type="spellEnd"/>
            <w:r>
              <w:rPr>
                <w:rFonts w:ascii="Segoe UI" w:hAnsi="Segoe UI" w:cs="Segoe UI"/>
                <w:sz w:val="18"/>
                <w:szCs w:val="18"/>
              </w:rPr>
              <w:t xml:space="preserve"> Press.</w:t>
            </w:r>
          </w:p>
          <w:p w:rsidR="000C0319" w:rsidRPr="008A4C5F" w:rsidRDefault="000C0319" w:rsidP="00AC263F">
            <w:pPr>
              <w:pStyle w:val="ListParagraph"/>
              <w:numPr>
                <w:ilvl w:val="0"/>
                <w:numId w:val="2"/>
              </w:numPr>
              <w:ind w:left="252" w:hanging="252"/>
              <w:rPr>
                <w:rFonts w:ascii="Segoe UI" w:hAnsi="Segoe UI" w:cs="Segoe UI"/>
                <w:sz w:val="18"/>
                <w:szCs w:val="18"/>
              </w:rPr>
            </w:pPr>
            <w:r w:rsidRPr="008A4C5F">
              <w:rPr>
                <w:rFonts w:ascii="Segoe UI" w:hAnsi="Segoe UI" w:cs="Segoe UI"/>
                <w:sz w:val="18"/>
                <w:szCs w:val="18"/>
              </w:rPr>
              <w:t xml:space="preserve">Berry, F., &amp; Berry, W. D. (2014). Innovation and Diffusion Models in Policy Research. In P. Sabatier &amp; C. </w:t>
            </w:r>
            <w:proofErr w:type="spellStart"/>
            <w:r w:rsidRPr="008A4C5F">
              <w:rPr>
                <w:rFonts w:ascii="Segoe UI" w:hAnsi="Segoe UI" w:cs="Segoe UI"/>
                <w:sz w:val="18"/>
                <w:szCs w:val="18"/>
              </w:rPr>
              <w:t>Weible</w:t>
            </w:r>
            <w:proofErr w:type="spellEnd"/>
            <w:r w:rsidRPr="008A4C5F">
              <w:rPr>
                <w:rFonts w:ascii="Segoe UI" w:hAnsi="Segoe UI" w:cs="Segoe UI"/>
                <w:sz w:val="18"/>
                <w:szCs w:val="18"/>
              </w:rPr>
              <w:t xml:space="preserve"> (Eds.), </w:t>
            </w:r>
            <w:r w:rsidRPr="008A4C5F">
              <w:rPr>
                <w:rFonts w:ascii="Segoe UI" w:hAnsi="Segoe UI" w:cs="Segoe UI"/>
                <w:i/>
                <w:iCs/>
                <w:sz w:val="18"/>
                <w:szCs w:val="18"/>
              </w:rPr>
              <w:t>Theories of the Policy Process</w:t>
            </w:r>
            <w:r w:rsidRPr="008A4C5F">
              <w:rPr>
                <w:rFonts w:ascii="Segoe UI" w:hAnsi="Segoe UI" w:cs="Segoe UI"/>
                <w:sz w:val="18"/>
                <w:szCs w:val="18"/>
              </w:rPr>
              <w:t xml:space="preserve"> (3rd </w:t>
            </w:r>
            <w:proofErr w:type="gramStart"/>
            <w:r w:rsidRPr="008A4C5F">
              <w:rPr>
                <w:rFonts w:ascii="Segoe UI" w:hAnsi="Segoe UI" w:cs="Segoe UI"/>
                <w:sz w:val="18"/>
                <w:szCs w:val="18"/>
              </w:rPr>
              <w:t>ed</w:t>
            </w:r>
            <w:proofErr w:type="gramEnd"/>
            <w:r w:rsidRPr="008A4C5F">
              <w:rPr>
                <w:rFonts w:ascii="Segoe UI" w:hAnsi="Segoe UI" w:cs="Segoe UI"/>
                <w:sz w:val="18"/>
                <w:szCs w:val="18"/>
              </w:rPr>
              <w:t>.). Boulder, CO: Westview Press.</w:t>
            </w:r>
          </w:p>
          <w:p w:rsidR="001B18BE" w:rsidRPr="001B18BE" w:rsidRDefault="001B18BE" w:rsidP="001B18BE">
            <w:pPr>
              <w:rPr>
                <w:rFonts w:ascii="Segoe UI" w:hAnsi="Segoe UI" w:cs="Segoe UI"/>
                <w:sz w:val="18"/>
                <w:szCs w:val="18"/>
              </w:rPr>
            </w:pPr>
            <w:r w:rsidRPr="001B18BE">
              <w:rPr>
                <w:rFonts w:ascii="Segoe UI" w:hAnsi="Segoe UI" w:cs="Segoe UI"/>
                <w:sz w:val="18"/>
                <w:szCs w:val="18"/>
              </w:rPr>
              <w:t>Recommended, not required:</w:t>
            </w:r>
          </w:p>
          <w:p w:rsidR="00FB0FC1" w:rsidRPr="005E25CE" w:rsidRDefault="00FB0FC1" w:rsidP="00FB0FC1">
            <w:pPr>
              <w:pStyle w:val="ListParagraph"/>
              <w:numPr>
                <w:ilvl w:val="0"/>
                <w:numId w:val="2"/>
              </w:numPr>
              <w:autoSpaceDE w:val="0"/>
              <w:autoSpaceDN w:val="0"/>
              <w:adjustRightInd w:val="0"/>
              <w:ind w:left="252" w:hanging="252"/>
              <w:rPr>
                <w:rFonts w:ascii="Code" w:hAnsi="Code" w:cs="Code"/>
                <w:color w:val="000000"/>
                <w:sz w:val="24"/>
                <w:szCs w:val="24"/>
              </w:rPr>
            </w:pPr>
            <w:proofErr w:type="spellStart"/>
            <w:r w:rsidRPr="00AC263F">
              <w:rPr>
                <w:rFonts w:ascii="Segoe UI" w:hAnsi="Segoe UI" w:cs="Segoe UI"/>
                <w:sz w:val="18"/>
                <w:szCs w:val="18"/>
              </w:rPr>
              <w:t>Nabatchi</w:t>
            </w:r>
            <w:proofErr w:type="spellEnd"/>
            <w:r w:rsidRPr="00AC263F">
              <w:rPr>
                <w:rFonts w:ascii="Segoe UI" w:hAnsi="Segoe UI" w:cs="Segoe UI"/>
                <w:sz w:val="18"/>
                <w:szCs w:val="18"/>
              </w:rPr>
              <w:t xml:space="preserve">, T. (2009). Radical Individualism, Instrumental Rationality, and Public Administration: A Paper Formerly Titled </w:t>
            </w:r>
            <w:r w:rsidRPr="00AC263F">
              <w:rPr>
                <w:rFonts w:ascii="Segoe UI" w:hAnsi="Segoe UI" w:cs="Segoe UI"/>
                <w:sz w:val="18"/>
                <w:szCs w:val="18"/>
              </w:rPr>
              <w:lastRenderedPageBreak/>
              <w:t>"</w:t>
            </w:r>
            <w:proofErr w:type="spellStart"/>
            <w:r w:rsidRPr="00AC263F">
              <w:rPr>
                <w:rFonts w:ascii="Segoe UI" w:hAnsi="Segoe UI" w:cs="Segoe UI"/>
                <w:sz w:val="18"/>
                <w:szCs w:val="18"/>
              </w:rPr>
              <w:t>Roofied</w:t>
            </w:r>
            <w:proofErr w:type="spellEnd"/>
            <w:r w:rsidRPr="00AC263F">
              <w:rPr>
                <w:rFonts w:ascii="Segoe UI" w:hAnsi="Segoe UI" w:cs="Segoe UI"/>
                <w:sz w:val="18"/>
                <w:szCs w:val="18"/>
              </w:rPr>
              <w:t xml:space="preserve"> and Rolled". </w:t>
            </w:r>
            <w:r w:rsidRPr="00AC263F">
              <w:rPr>
                <w:rFonts w:ascii="Segoe UI" w:hAnsi="Segoe UI" w:cs="Segoe UI"/>
                <w:i/>
                <w:iCs/>
                <w:sz w:val="18"/>
                <w:szCs w:val="18"/>
              </w:rPr>
              <w:t>Public Performance &amp; Management Review, 32</w:t>
            </w:r>
            <w:r w:rsidRPr="00AC263F">
              <w:rPr>
                <w:rFonts w:ascii="Segoe UI" w:hAnsi="Segoe UI" w:cs="Segoe UI"/>
                <w:sz w:val="18"/>
                <w:szCs w:val="18"/>
              </w:rPr>
              <w:t>(4), 585-591</w:t>
            </w:r>
            <w:r w:rsidRPr="00DE0627">
              <w:rPr>
                <w:rFonts w:ascii="Segoe UI" w:hAnsi="Segoe UI" w:cs="Segoe UI"/>
                <w:sz w:val="18"/>
                <w:szCs w:val="18"/>
                <w:shd w:val="clear" w:color="auto" w:fill="A8D08D" w:themeFill="accent6" w:themeFillTint="99"/>
              </w:rPr>
              <w:t>.</w:t>
            </w:r>
          </w:p>
          <w:p w:rsidR="005E25CE" w:rsidRPr="008A4C5F" w:rsidRDefault="005E25CE" w:rsidP="00AC263F">
            <w:pPr>
              <w:pStyle w:val="ListParagraph"/>
              <w:numPr>
                <w:ilvl w:val="0"/>
                <w:numId w:val="2"/>
              </w:numPr>
              <w:autoSpaceDE w:val="0"/>
              <w:autoSpaceDN w:val="0"/>
              <w:adjustRightInd w:val="0"/>
              <w:ind w:left="252" w:hanging="252"/>
              <w:rPr>
                <w:rFonts w:ascii="Segoe UI" w:hAnsi="Segoe UI" w:cs="Segoe UI"/>
                <w:sz w:val="18"/>
                <w:szCs w:val="18"/>
              </w:rPr>
            </w:pPr>
            <w:proofErr w:type="spellStart"/>
            <w:r w:rsidRPr="008A4C5F">
              <w:rPr>
                <w:rFonts w:ascii="Segoe UI" w:hAnsi="Segoe UI" w:cs="Segoe UI"/>
                <w:sz w:val="18"/>
                <w:szCs w:val="18"/>
              </w:rPr>
              <w:t>Pindyck</w:t>
            </w:r>
            <w:proofErr w:type="spellEnd"/>
            <w:r w:rsidRPr="008A4C5F">
              <w:rPr>
                <w:rFonts w:ascii="Segoe UI" w:hAnsi="Segoe UI" w:cs="Segoe UI"/>
                <w:sz w:val="18"/>
                <w:szCs w:val="18"/>
              </w:rPr>
              <w:t xml:space="preserve">, R. S., &amp; </w:t>
            </w:r>
            <w:proofErr w:type="spellStart"/>
            <w:r w:rsidRPr="008A4C5F">
              <w:rPr>
                <w:rFonts w:ascii="Segoe UI" w:hAnsi="Segoe UI" w:cs="Segoe UI"/>
                <w:sz w:val="18"/>
                <w:szCs w:val="18"/>
              </w:rPr>
              <w:t>Rubinfeld</w:t>
            </w:r>
            <w:proofErr w:type="spellEnd"/>
            <w:r w:rsidRPr="008A4C5F">
              <w:rPr>
                <w:rFonts w:ascii="Segoe UI" w:hAnsi="Segoe UI" w:cs="Segoe UI"/>
                <w:sz w:val="18"/>
                <w:szCs w:val="18"/>
              </w:rPr>
              <w:t xml:space="preserve">, D. L. (2005). Perfectly </w:t>
            </w:r>
            <w:proofErr w:type="spellStart"/>
            <w:r w:rsidRPr="008A4C5F">
              <w:rPr>
                <w:rFonts w:ascii="Segoe UI" w:hAnsi="Segoe UI" w:cs="Segoe UI"/>
                <w:sz w:val="18"/>
                <w:szCs w:val="18"/>
              </w:rPr>
              <w:t>Competative</w:t>
            </w:r>
            <w:proofErr w:type="spellEnd"/>
            <w:r w:rsidRPr="008A4C5F">
              <w:rPr>
                <w:rFonts w:ascii="Segoe UI" w:hAnsi="Segoe UI" w:cs="Segoe UI"/>
                <w:sz w:val="18"/>
                <w:szCs w:val="18"/>
              </w:rPr>
              <w:t xml:space="preserve"> Markets. In </w:t>
            </w:r>
            <w:r w:rsidRPr="008A4C5F">
              <w:rPr>
                <w:rFonts w:ascii="Segoe UI" w:hAnsi="Segoe UI" w:cs="Segoe UI"/>
                <w:i/>
                <w:iCs/>
                <w:sz w:val="18"/>
                <w:szCs w:val="18"/>
              </w:rPr>
              <w:t>Microeconomics</w:t>
            </w:r>
            <w:r w:rsidRPr="008A4C5F">
              <w:rPr>
                <w:rFonts w:ascii="Segoe UI" w:hAnsi="Segoe UI" w:cs="Segoe UI"/>
                <w:sz w:val="18"/>
                <w:szCs w:val="18"/>
              </w:rPr>
              <w:t xml:space="preserve"> (pp. 262-264). Saddle River, NJ: Pearson Prentice Hall.</w:t>
            </w:r>
          </w:p>
          <w:p w:rsidR="005E25CE" w:rsidRPr="008A4C5F" w:rsidRDefault="005E25CE" w:rsidP="00AC263F">
            <w:pPr>
              <w:pStyle w:val="ListParagraph"/>
              <w:numPr>
                <w:ilvl w:val="0"/>
                <w:numId w:val="2"/>
              </w:numPr>
              <w:autoSpaceDE w:val="0"/>
              <w:autoSpaceDN w:val="0"/>
              <w:adjustRightInd w:val="0"/>
              <w:ind w:left="252" w:hanging="252"/>
              <w:rPr>
                <w:rFonts w:ascii="Segoe UI" w:hAnsi="Segoe UI" w:cs="Segoe UI"/>
                <w:sz w:val="18"/>
                <w:szCs w:val="18"/>
              </w:rPr>
            </w:pPr>
            <w:proofErr w:type="spellStart"/>
            <w:r w:rsidRPr="008A4C5F">
              <w:rPr>
                <w:rFonts w:ascii="Segoe UI" w:hAnsi="Segoe UI" w:cs="Segoe UI"/>
                <w:sz w:val="18"/>
                <w:szCs w:val="18"/>
              </w:rPr>
              <w:t>Pindyck</w:t>
            </w:r>
            <w:proofErr w:type="spellEnd"/>
            <w:r w:rsidRPr="008A4C5F">
              <w:rPr>
                <w:rFonts w:ascii="Segoe UI" w:hAnsi="Segoe UI" w:cs="Segoe UI"/>
                <w:sz w:val="18"/>
                <w:szCs w:val="18"/>
              </w:rPr>
              <w:t xml:space="preserve">, R. S., &amp; </w:t>
            </w:r>
            <w:proofErr w:type="spellStart"/>
            <w:r w:rsidRPr="008A4C5F">
              <w:rPr>
                <w:rFonts w:ascii="Segoe UI" w:hAnsi="Segoe UI" w:cs="Segoe UI"/>
                <w:sz w:val="18"/>
                <w:szCs w:val="18"/>
              </w:rPr>
              <w:t>Rubinfeld</w:t>
            </w:r>
            <w:proofErr w:type="spellEnd"/>
            <w:r w:rsidRPr="008A4C5F">
              <w:rPr>
                <w:rFonts w:ascii="Segoe UI" w:hAnsi="Segoe UI" w:cs="Segoe UI"/>
                <w:sz w:val="18"/>
                <w:szCs w:val="18"/>
              </w:rPr>
              <w:t xml:space="preserve">, D. L. (2005). The Market Mechanism: Shortcomings and Remedies. In </w:t>
            </w:r>
            <w:r w:rsidRPr="008A4C5F">
              <w:rPr>
                <w:rFonts w:ascii="Segoe UI" w:hAnsi="Segoe UI" w:cs="Segoe UI"/>
                <w:i/>
                <w:iCs/>
                <w:sz w:val="18"/>
                <w:szCs w:val="18"/>
              </w:rPr>
              <w:t>Microeconomics</w:t>
            </w:r>
            <w:r w:rsidRPr="008A4C5F">
              <w:rPr>
                <w:rFonts w:ascii="Segoe UI" w:hAnsi="Segoe UI" w:cs="Segoe UI"/>
                <w:sz w:val="18"/>
                <w:szCs w:val="18"/>
              </w:rPr>
              <w:t xml:space="preserve"> (pp. 301-324). Saddle River, NJ: Pearson Prentice Hall.</w:t>
            </w:r>
          </w:p>
          <w:p w:rsidR="00D64E49" w:rsidRPr="005E25CE" w:rsidRDefault="005E25CE" w:rsidP="00AC263F">
            <w:pPr>
              <w:pStyle w:val="ListParagraph"/>
              <w:numPr>
                <w:ilvl w:val="0"/>
                <w:numId w:val="2"/>
              </w:numPr>
              <w:autoSpaceDE w:val="0"/>
              <w:autoSpaceDN w:val="0"/>
              <w:adjustRightInd w:val="0"/>
              <w:ind w:left="252" w:hanging="252"/>
              <w:rPr>
                <w:rFonts w:ascii="Code" w:hAnsi="Code" w:cs="Code"/>
                <w:color w:val="000000"/>
                <w:sz w:val="24"/>
                <w:szCs w:val="24"/>
              </w:rPr>
            </w:pPr>
            <w:r w:rsidRPr="005E25CE">
              <w:rPr>
                <w:rFonts w:ascii="Segoe UI" w:hAnsi="Segoe UI" w:cs="Segoe UI"/>
                <w:sz w:val="18"/>
                <w:szCs w:val="18"/>
              </w:rPr>
              <w:t xml:space="preserve">John D. </w:t>
            </w:r>
            <w:proofErr w:type="spellStart"/>
            <w:r w:rsidRPr="005E25CE">
              <w:rPr>
                <w:rFonts w:ascii="Segoe UI" w:hAnsi="Segoe UI" w:cs="Segoe UI"/>
                <w:sz w:val="18"/>
                <w:szCs w:val="18"/>
              </w:rPr>
              <w:t>DiIulio</w:t>
            </w:r>
            <w:proofErr w:type="spellEnd"/>
            <w:r w:rsidRPr="005E25CE">
              <w:rPr>
                <w:rFonts w:ascii="Segoe UI" w:hAnsi="Segoe UI" w:cs="Segoe UI"/>
                <w:sz w:val="18"/>
                <w:szCs w:val="18"/>
              </w:rPr>
              <w:t xml:space="preserve">, J. (1994). Principled Agents: The Cultural Bases of Behavior in a Federal Government Bureaucracy. </w:t>
            </w:r>
            <w:r w:rsidRPr="005E25CE">
              <w:rPr>
                <w:rFonts w:ascii="Segoe UI" w:hAnsi="Segoe UI" w:cs="Segoe UI"/>
                <w:i/>
                <w:iCs/>
                <w:sz w:val="18"/>
                <w:szCs w:val="18"/>
              </w:rPr>
              <w:t>Journal of Public Administration Research and Theory: J-PART, 4</w:t>
            </w:r>
            <w:r>
              <w:rPr>
                <w:rFonts w:ascii="Segoe UI" w:hAnsi="Segoe UI" w:cs="Segoe UI"/>
                <w:sz w:val="18"/>
                <w:szCs w:val="18"/>
              </w:rPr>
              <w:t>(3), 277-318.</w:t>
            </w:r>
          </w:p>
        </w:tc>
        <w:tc>
          <w:tcPr>
            <w:tcW w:w="3268" w:type="dxa"/>
          </w:tcPr>
          <w:p w:rsidR="00EB55D9" w:rsidRPr="00EB55D9" w:rsidRDefault="00EB55D9" w:rsidP="00EB55D9">
            <w:pPr>
              <w:rPr>
                <w:b/>
                <w:color w:val="0070C0"/>
              </w:rPr>
            </w:pPr>
            <w:r w:rsidRPr="00EB55D9">
              <w:rPr>
                <w:b/>
                <w:color w:val="0070C0"/>
              </w:rPr>
              <w:lastRenderedPageBreak/>
              <w:t>Stakeholder map due</w:t>
            </w:r>
          </w:p>
          <w:p w:rsidR="00EB55D9" w:rsidRPr="00EB55D9" w:rsidRDefault="00EB55D9" w:rsidP="00EB55D9">
            <w:pPr>
              <w:rPr>
                <w:b/>
                <w:color w:val="0070C0"/>
              </w:rPr>
            </w:pPr>
            <w:r w:rsidRPr="00EB55D9">
              <w:rPr>
                <w:b/>
                <w:color w:val="0070C0"/>
              </w:rPr>
              <w:t>Regulatory map due</w:t>
            </w:r>
          </w:p>
          <w:p w:rsidR="007B61A5" w:rsidRDefault="00EB55D9" w:rsidP="00EB55D9">
            <w:r w:rsidRPr="00EB55D9">
              <w:rPr>
                <w:b/>
                <w:color w:val="0070C0"/>
              </w:rPr>
              <w:t>Policy map due</w:t>
            </w:r>
            <w:r w:rsidRPr="00EB55D9">
              <w:rPr>
                <w:color w:val="0070C0"/>
              </w:rPr>
              <w:t xml:space="preserve"> </w:t>
            </w:r>
          </w:p>
        </w:tc>
      </w:tr>
      <w:tr w:rsidR="007B61A5" w:rsidTr="00AC263F">
        <w:tc>
          <w:tcPr>
            <w:tcW w:w="1150" w:type="dxa"/>
          </w:tcPr>
          <w:p w:rsidR="007B61A5" w:rsidRDefault="007B61A5">
            <w:r>
              <w:lastRenderedPageBreak/>
              <w:t>Sept 12</w:t>
            </w:r>
          </w:p>
        </w:tc>
        <w:tc>
          <w:tcPr>
            <w:tcW w:w="1964" w:type="dxa"/>
          </w:tcPr>
          <w:p w:rsidR="007B61A5" w:rsidRDefault="007B61A5">
            <w:r>
              <w:t>Popular theory I</w:t>
            </w:r>
          </w:p>
        </w:tc>
        <w:tc>
          <w:tcPr>
            <w:tcW w:w="3209" w:type="dxa"/>
          </w:tcPr>
          <w:p w:rsidR="007B61A5" w:rsidRDefault="007B61A5" w:rsidP="00DD6272">
            <w:r>
              <w:t>Problem framing</w:t>
            </w:r>
          </w:p>
          <w:p w:rsidR="00C741D3" w:rsidRDefault="00C741D3" w:rsidP="00C741D3">
            <w:r>
              <w:t>Implementation (</w:t>
            </w:r>
            <w:proofErr w:type="spellStart"/>
            <w:r>
              <w:t>Wildavsky</w:t>
            </w:r>
            <w:proofErr w:type="spellEnd"/>
            <w:r>
              <w:t>)</w:t>
            </w:r>
          </w:p>
          <w:p w:rsidR="00C741D3" w:rsidRDefault="00C741D3" w:rsidP="00C741D3">
            <w:proofErr w:type="spellStart"/>
            <w:r>
              <w:t>Streetlevel</w:t>
            </w:r>
            <w:proofErr w:type="spellEnd"/>
            <w:r>
              <w:t xml:space="preserve"> bureaucracy (</w:t>
            </w:r>
            <w:proofErr w:type="spellStart"/>
            <w:r>
              <w:t>Lipsky</w:t>
            </w:r>
            <w:proofErr w:type="spellEnd"/>
            <w:r>
              <w:t>)</w:t>
            </w:r>
          </w:p>
          <w:p w:rsidR="00C741D3" w:rsidRDefault="00C741D3" w:rsidP="00C741D3">
            <w:r>
              <w:t>Punctuated equilibrium</w:t>
            </w:r>
          </w:p>
          <w:p w:rsidR="00C741D3" w:rsidRDefault="00C741D3">
            <w:r>
              <w:t>Garbage can model</w:t>
            </w:r>
          </w:p>
          <w:p w:rsidR="007B61A5" w:rsidRDefault="007B61A5">
            <w:r>
              <w:t>Multiple streams</w:t>
            </w:r>
          </w:p>
          <w:p w:rsidR="00F86158" w:rsidRDefault="00F86158" w:rsidP="00F86158">
            <w:r>
              <w:t>Social movement theory</w:t>
            </w:r>
          </w:p>
          <w:p w:rsidR="003B5232" w:rsidRDefault="00C741D3" w:rsidP="00C741D3">
            <w:r>
              <w:t>Efficacy and policy creates politics</w:t>
            </w:r>
          </w:p>
        </w:tc>
        <w:tc>
          <w:tcPr>
            <w:tcW w:w="3904" w:type="dxa"/>
            <w:shd w:val="clear" w:color="auto" w:fill="auto"/>
          </w:tcPr>
          <w:p w:rsidR="007B61A5" w:rsidRPr="007B092B" w:rsidRDefault="00E16A35" w:rsidP="007B092B">
            <w:pPr>
              <w:pStyle w:val="ListParagraph"/>
              <w:numPr>
                <w:ilvl w:val="0"/>
                <w:numId w:val="3"/>
              </w:numPr>
              <w:shd w:val="clear" w:color="auto" w:fill="A8D08D" w:themeFill="accent6" w:themeFillTint="99"/>
              <w:ind w:left="314" w:hanging="224"/>
              <w:rPr>
                <w:rFonts w:ascii="Segoe UI" w:hAnsi="Segoe UI" w:cs="Segoe UI"/>
                <w:sz w:val="18"/>
                <w:szCs w:val="18"/>
              </w:rPr>
            </w:pPr>
            <w:proofErr w:type="spellStart"/>
            <w:r w:rsidRPr="007B092B">
              <w:rPr>
                <w:rFonts w:ascii="Segoe UI" w:hAnsi="Segoe UI" w:cs="Segoe UI"/>
                <w:sz w:val="18"/>
                <w:szCs w:val="18"/>
              </w:rPr>
              <w:t>Rochford</w:t>
            </w:r>
            <w:proofErr w:type="spellEnd"/>
            <w:r w:rsidRPr="007B092B">
              <w:rPr>
                <w:rFonts w:ascii="Segoe UI" w:hAnsi="Segoe UI" w:cs="Segoe UI"/>
                <w:sz w:val="18"/>
                <w:szCs w:val="18"/>
              </w:rPr>
              <w:t xml:space="preserve"> and Cobb chapter</w:t>
            </w:r>
          </w:p>
          <w:p w:rsidR="00736B7E" w:rsidRPr="007B092B" w:rsidRDefault="00736B7E" w:rsidP="007B092B">
            <w:pPr>
              <w:pStyle w:val="ListParagraph"/>
              <w:numPr>
                <w:ilvl w:val="0"/>
                <w:numId w:val="3"/>
              </w:numPr>
              <w:shd w:val="clear" w:color="auto" w:fill="A8D08D" w:themeFill="accent6" w:themeFillTint="99"/>
              <w:ind w:left="314" w:hanging="224"/>
              <w:rPr>
                <w:rFonts w:ascii="Segoe UI" w:hAnsi="Segoe UI" w:cs="Segoe UI"/>
                <w:sz w:val="18"/>
                <w:szCs w:val="18"/>
              </w:rPr>
            </w:pPr>
            <w:r w:rsidRPr="007B092B">
              <w:rPr>
                <w:rFonts w:ascii="Segoe UI" w:hAnsi="Segoe UI" w:cs="Segoe UI"/>
                <w:sz w:val="18"/>
                <w:szCs w:val="18"/>
              </w:rPr>
              <w:t xml:space="preserve">Pressman &amp; </w:t>
            </w:r>
            <w:proofErr w:type="spellStart"/>
            <w:r w:rsidRPr="007B092B">
              <w:rPr>
                <w:rFonts w:ascii="Segoe UI" w:hAnsi="Segoe UI" w:cs="Segoe UI"/>
                <w:sz w:val="18"/>
                <w:szCs w:val="18"/>
              </w:rPr>
              <w:t>Wildavsky</w:t>
            </w:r>
            <w:proofErr w:type="spellEnd"/>
          </w:p>
          <w:p w:rsidR="00736B7E" w:rsidRPr="007B092B" w:rsidRDefault="00736B7E" w:rsidP="007B092B">
            <w:pPr>
              <w:pStyle w:val="ListParagraph"/>
              <w:numPr>
                <w:ilvl w:val="0"/>
                <w:numId w:val="3"/>
              </w:numPr>
              <w:shd w:val="clear" w:color="auto" w:fill="A8D08D" w:themeFill="accent6" w:themeFillTint="99"/>
              <w:ind w:left="314" w:hanging="224"/>
              <w:rPr>
                <w:rFonts w:ascii="Segoe UI" w:hAnsi="Segoe UI" w:cs="Segoe UI"/>
                <w:sz w:val="18"/>
                <w:szCs w:val="18"/>
              </w:rPr>
            </w:pPr>
            <w:r w:rsidRPr="007B092B">
              <w:rPr>
                <w:rFonts w:ascii="Segoe UI" w:hAnsi="Segoe UI" w:cs="Segoe UI"/>
                <w:sz w:val="18"/>
                <w:szCs w:val="18"/>
              </w:rPr>
              <w:t xml:space="preserve">Baumgartner, &amp; Jones. The Construction and Collapse of a Policy Monopoly. In </w:t>
            </w:r>
            <w:r w:rsidRPr="007B092B">
              <w:rPr>
                <w:rFonts w:ascii="Segoe UI" w:hAnsi="Segoe UI" w:cs="Segoe UI"/>
                <w:i/>
                <w:iCs/>
                <w:sz w:val="18"/>
                <w:szCs w:val="18"/>
              </w:rPr>
              <w:t>Agendas and Instability in American Politics</w:t>
            </w:r>
            <w:r w:rsidRPr="007B092B">
              <w:rPr>
                <w:rFonts w:ascii="Segoe UI" w:hAnsi="Segoe UI" w:cs="Segoe UI"/>
                <w:sz w:val="18"/>
                <w:szCs w:val="18"/>
              </w:rPr>
              <w:t xml:space="preserve"> (pp. 59-82). Chicago, IL: University of Chicago Press. </w:t>
            </w:r>
          </w:p>
          <w:p w:rsidR="00A25CA3" w:rsidRPr="007B092B" w:rsidRDefault="00A25CA3" w:rsidP="007B092B">
            <w:pPr>
              <w:pStyle w:val="ListParagraph"/>
              <w:numPr>
                <w:ilvl w:val="0"/>
                <w:numId w:val="3"/>
              </w:numPr>
              <w:shd w:val="clear" w:color="auto" w:fill="A8D08D" w:themeFill="accent6" w:themeFillTint="99"/>
              <w:ind w:left="314" w:hanging="224"/>
              <w:rPr>
                <w:rFonts w:ascii="Segoe UI" w:hAnsi="Segoe UI" w:cs="Segoe UI"/>
                <w:sz w:val="18"/>
                <w:szCs w:val="18"/>
              </w:rPr>
            </w:pPr>
            <w:r w:rsidRPr="007B092B">
              <w:rPr>
                <w:rFonts w:ascii="Segoe UI" w:hAnsi="Segoe UI" w:cs="Segoe UI"/>
                <w:sz w:val="18"/>
                <w:szCs w:val="18"/>
              </w:rPr>
              <w:t>A Garbage Can Model of Organizational Choice Author(s): Michael D. Cohen, James G. March, Johan P. Olsen Source: Administrative Science Quarterly, Vol. 17, No. 1 (Mar., 1972), pp. 1-25.</w:t>
            </w:r>
          </w:p>
          <w:p w:rsidR="00E16A35" w:rsidRPr="007B092B" w:rsidRDefault="00736B7E" w:rsidP="007B092B">
            <w:pPr>
              <w:pStyle w:val="ListParagraph"/>
              <w:numPr>
                <w:ilvl w:val="0"/>
                <w:numId w:val="3"/>
              </w:numPr>
              <w:shd w:val="clear" w:color="auto" w:fill="FFFF00"/>
              <w:ind w:left="314" w:hanging="224"/>
              <w:rPr>
                <w:rFonts w:ascii="Segoe UI" w:hAnsi="Segoe UI" w:cs="Segoe UI"/>
                <w:sz w:val="18"/>
                <w:szCs w:val="18"/>
              </w:rPr>
            </w:pPr>
            <w:proofErr w:type="spellStart"/>
            <w:r w:rsidRPr="007B092B">
              <w:rPr>
                <w:rFonts w:ascii="Segoe UI" w:hAnsi="Segoe UI" w:cs="Segoe UI"/>
                <w:sz w:val="18"/>
                <w:szCs w:val="18"/>
              </w:rPr>
              <w:t>Zachariardis</w:t>
            </w:r>
            <w:proofErr w:type="spellEnd"/>
          </w:p>
          <w:p w:rsidR="004F1B8A" w:rsidRPr="007B092B" w:rsidRDefault="004F1B8A" w:rsidP="007B092B">
            <w:pPr>
              <w:pStyle w:val="ListParagraph"/>
              <w:numPr>
                <w:ilvl w:val="0"/>
                <w:numId w:val="3"/>
              </w:numPr>
              <w:shd w:val="clear" w:color="auto" w:fill="A8D08D" w:themeFill="accent6" w:themeFillTint="99"/>
              <w:ind w:left="314" w:hanging="224"/>
              <w:rPr>
                <w:rFonts w:ascii="Segoe UI" w:hAnsi="Segoe UI" w:cs="Segoe UI"/>
                <w:sz w:val="18"/>
                <w:szCs w:val="18"/>
              </w:rPr>
            </w:pPr>
            <w:proofErr w:type="spellStart"/>
            <w:r w:rsidRPr="007B092B">
              <w:rPr>
                <w:rFonts w:ascii="Segoe UI" w:hAnsi="Segoe UI" w:cs="Segoe UI"/>
                <w:sz w:val="18"/>
                <w:szCs w:val="18"/>
              </w:rPr>
              <w:t>Amenta</w:t>
            </w:r>
            <w:proofErr w:type="spellEnd"/>
            <w:r w:rsidRPr="007B092B">
              <w:rPr>
                <w:rFonts w:ascii="Segoe UI" w:hAnsi="Segoe UI" w:cs="Segoe UI"/>
                <w:sz w:val="18"/>
                <w:szCs w:val="18"/>
              </w:rPr>
              <w:t xml:space="preserve">, Edwin, Neal Caren, Elizabeth </w:t>
            </w:r>
            <w:proofErr w:type="spellStart"/>
            <w:r w:rsidRPr="007B092B">
              <w:rPr>
                <w:rFonts w:ascii="Segoe UI" w:hAnsi="Segoe UI" w:cs="Segoe UI"/>
                <w:sz w:val="18"/>
                <w:szCs w:val="18"/>
              </w:rPr>
              <w:t>Chiarello</w:t>
            </w:r>
            <w:proofErr w:type="spellEnd"/>
            <w:r w:rsidRPr="007B092B">
              <w:rPr>
                <w:rFonts w:ascii="Segoe UI" w:hAnsi="Segoe UI" w:cs="Segoe UI"/>
                <w:sz w:val="18"/>
                <w:szCs w:val="18"/>
              </w:rPr>
              <w:t xml:space="preserve">, and Yang Su. 2010. “The Political Consequences of Social Movements.” </w:t>
            </w:r>
            <w:r w:rsidRPr="007B092B">
              <w:rPr>
                <w:rFonts w:ascii="Segoe UI" w:hAnsi="Segoe UI" w:cs="Segoe UI"/>
                <w:i/>
                <w:sz w:val="18"/>
                <w:szCs w:val="18"/>
              </w:rPr>
              <w:t>Annual Review of Sociology</w:t>
            </w:r>
            <w:r w:rsidRPr="007B092B">
              <w:rPr>
                <w:rFonts w:ascii="Segoe UI" w:hAnsi="Segoe UI" w:cs="Segoe UI"/>
                <w:sz w:val="18"/>
                <w:szCs w:val="18"/>
              </w:rPr>
              <w:t xml:space="preserve"> 36:287-307.</w:t>
            </w:r>
          </w:p>
          <w:p w:rsidR="001B18BE" w:rsidRPr="007B092B" w:rsidRDefault="001B18BE" w:rsidP="007B092B">
            <w:pPr>
              <w:ind w:left="314" w:hanging="224"/>
              <w:rPr>
                <w:rFonts w:ascii="Segoe UI" w:hAnsi="Segoe UI" w:cs="Segoe UI"/>
                <w:sz w:val="18"/>
                <w:szCs w:val="18"/>
              </w:rPr>
            </w:pPr>
            <w:r w:rsidRPr="007B092B">
              <w:rPr>
                <w:rFonts w:ascii="Segoe UI" w:hAnsi="Segoe UI" w:cs="Segoe UI"/>
                <w:sz w:val="18"/>
                <w:szCs w:val="18"/>
              </w:rPr>
              <w:t>Recommended, not required:</w:t>
            </w:r>
          </w:p>
          <w:p w:rsidR="00736B7E" w:rsidRPr="007B092B" w:rsidRDefault="00736B7E" w:rsidP="007B092B">
            <w:pPr>
              <w:pStyle w:val="ListParagraph"/>
              <w:numPr>
                <w:ilvl w:val="0"/>
                <w:numId w:val="3"/>
              </w:numPr>
              <w:tabs>
                <w:tab w:val="left" w:pos="342"/>
              </w:tabs>
              <w:ind w:left="314" w:hanging="224"/>
              <w:rPr>
                <w:rFonts w:ascii="Segoe UI" w:hAnsi="Segoe UI" w:cs="Segoe UI"/>
                <w:sz w:val="18"/>
                <w:szCs w:val="18"/>
              </w:rPr>
            </w:pPr>
            <w:proofErr w:type="spellStart"/>
            <w:r w:rsidRPr="007B092B">
              <w:rPr>
                <w:rFonts w:ascii="Segoe UI" w:hAnsi="Segoe UI" w:cs="Segoe UI"/>
                <w:sz w:val="18"/>
                <w:szCs w:val="18"/>
              </w:rPr>
              <w:t>Lipsky</w:t>
            </w:r>
            <w:proofErr w:type="spellEnd"/>
            <w:r w:rsidRPr="007B092B">
              <w:rPr>
                <w:rFonts w:ascii="Segoe UI" w:hAnsi="Segoe UI" w:cs="Segoe UI"/>
                <w:sz w:val="18"/>
                <w:szCs w:val="18"/>
              </w:rPr>
              <w:t xml:space="preserve"> in Theories of PA </w:t>
            </w:r>
          </w:p>
          <w:p w:rsidR="004F1B8A" w:rsidRPr="007B092B" w:rsidRDefault="004F1B8A" w:rsidP="007B092B">
            <w:pPr>
              <w:pStyle w:val="ListParagraph"/>
              <w:numPr>
                <w:ilvl w:val="0"/>
                <w:numId w:val="3"/>
              </w:numPr>
              <w:shd w:val="clear" w:color="auto" w:fill="A8D08D" w:themeFill="accent6" w:themeFillTint="99"/>
              <w:tabs>
                <w:tab w:val="left" w:pos="342"/>
                <w:tab w:val="center" w:pos="5031"/>
              </w:tabs>
              <w:ind w:left="314" w:hanging="224"/>
              <w:rPr>
                <w:rFonts w:ascii="Segoe UI" w:hAnsi="Segoe UI" w:cs="Segoe UI"/>
                <w:sz w:val="18"/>
                <w:szCs w:val="18"/>
              </w:rPr>
            </w:pPr>
            <w:r w:rsidRPr="007B092B">
              <w:rPr>
                <w:rFonts w:ascii="Segoe UI" w:hAnsi="Segoe UI" w:cs="Segoe UI"/>
                <w:sz w:val="18"/>
                <w:szCs w:val="18"/>
              </w:rPr>
              <w:t xml:space="preserve">Langman, Lauren. 2013. “Occupy: A New Social Movement.” </w:t>
            </w:r>
            <w:r w:rsidRPr="007B092B">
              <w:rPr>
                <w:rFonts w:ascii="Segoe UI" w:hAnsi="Segoe UI" w:cs="Segoe UI"/>
                <w:i/>
                <w:sz w:val="18"/>
                <w:szCs w:val="18"/>
              </w:rPr>
              <w:t>Current Sociology</w:t>
            </w:r>
            <w:r w:rsidRPr="007B092B">
              <w:rPr>
                <w:rFonts w:ascii="Segoe UI" w:hAnsi="Segoe UI" w:cs="Segoe UI"/>
                <w:sz w:val="18"/>
                <w:szCs w:val="18"/>
              </w:rPr>
              <w:t>. 61(4):510-524.</w:t>
            </w:r>
          </w:p>
          <w:p w:rsidR="00075D7B" w:rsidRPr="007B092B" w:rsidRDefault="00075D7B" w:rsidP="007B092B">
            <w:pPr>
              <w:pStyle w:val="ListParagraph"/>
              <w:numPr>
                <w:ilvl w:val="0"/>
                <w:numId w:val="3"/>
              </w:numPr>
              <w:ind w:left="314" w:hanging="224"/>
              <w:rPr>
                <w:rFonts w:ascii="Segoe UI" w:hAnsi="Segoe UI" w:cs="Segoe UI"/>
                <w:sz w:val="18"/>
                <w:szCs w:val="18"/>
              </w:rPr>
            </w:pPr>
          </w:p>
        </w:tc>
        <w:tc>
          <w:tcPr>
            <w:tcW w:w="3268" w:type="dxa"/>
          </w:tcPr>
          <w:p w:rsidR="007B61A5" w:rsidRDefault="006E6FEC">
            <w:pPr>
              <w:rPr>
                <w:b/>
                <w:color w:val="0070C0"/>
              </w:rPr>
            </w:pPr>
            <w:r w:rsidRPr="006E6FEC">
              <w:rPr>
                <w:b/>
                <w:color w:val="0070C0"/>
              </w:rPr>
              <w:lastRenderedPageBreak/>
              <w:t>Review of other groups’ maps due</w:t>
            </w:r>
          </w:p>
          <w:p w:rsidR="00AE627D" w:rsidRDefault="00AE627D" w:rsidP="00AE627D">
            <w:pPr>
              <w:shd w:val="clear" w:color="auto" w:fill="FFFFFF"/>
              <w:rPr>
                <w:b/>
                <w:bCs/>
                <w:color w:val="000000"/>
                <w:sz w:val="18"/>
                <w:szCs w:val="18"/>
              </w:rPr>
            </w:pPr>
            <w:r>
              <w:rPr>
                <w:color w:val="000000"/>
                <w:sz w:val="18"/>
                <w:szCs w:val="18"/>
              </w:rPr>
              <w:t xml:space="preserve">Office for Global Engagement’s </w:t>
            </w:r>
          </w:p>
          <w:p w:rsidR="00AE627D" w:rsidRDefault="00AE627D" w:rsidP="00AE627D">
            <w:pPr>
              <w:shd w:val="clear" w:color="auto" w:fill="FFFFFF"/>
              <w:rPr>
                <w:b/>
                <w:bCs/>
                <w:color w:val="000000"/>
                <w:sz w:val="18"/>
                <w:szCs w:val="18"/>
              </w:rPr>
            </w:pPr>
            <w:r>
              <w:rPr>
                <w:b/>
                <w:bCs/>
                <w:color w:val="000000"/>
                <w:sz w:val="18"/>
                <w:szCs w:val="18"/>
              </w:rPr>
              <w:t>Learning Abroad program will come and present 6:00-6:10.</w:t>
            </w:r>
          </w:p>
          <w:p w:rsidR="00AE627D" w:rsidRDefault="00AE627D" w:rsidP="00AE627D">
            <w:pPr>
              <w:shd w:val="clear" w:color="auto" w:fill="FFFFFF"/>
              <w:rPr>
                <w:b/>
                <w:bCs/>
                <w:color w:val="000000"/>
                <w:sz w:val="18"/>
                <w:szCs w:val="18"/>
              </w:rPr>
            </w:pPr>
            <w:r>
              <w:rPr>
                <w:b/>
                <w:bCs/>
                <w:color w:val="000000"/>
                <w:sz w:val="18"/>
                <w:szCs w:val="18"/>
              </w:rPr>
              <w:t>Peter Kraus will also present for an hour.</w:t>
            </w:r>
          </w:p>
          <w:p w:rsidR="00AE627D" w:rsidRPr="006E6FEC" w:rsidRDefault="00AE627D" w:rsidP="00AE627D">
            <w:pPr>
              <w:shd w:val="clear" w:color="auto" w:fill="FFFFFF"/>
              <w:rPr>
                <w:b/>
              </w:rPr>
            </w:pPr>
          </w:p>
        </w:tc>
      </w:tr>
      <w:tr w:rsidR="007B61A5" w:rsidTr="00AC263F">
        <w:tc>
          <w:tcPr>
            <w:tcW w:w="1150" w:type="dxa"/>
          </w:tcPr>
          <w:p w:rsidR="007B61A5" w:rsidRDefault="007B61A5">
            <w:r>
              <w:lastRenderedPageBreak/>
              <w:t>Sept 19</w:t>
            </w:r>
          </w:p>
        </w:tc>
        <w:tc>
          <w:tcPr>
            <w:tcW w:w="1964" w:type="dxa"/>
          </w:tcPr>
          <w:p w:rsidR="007B61A5" w:rsidRDefault="007B61A5">
            <w:r>
              <w:t>Popular theory II</w:t>
            </w:r>
          </w:p>
        </w:tc>
        <w:tc>
          <w:tcPr>
            <w:tcW w:w="3209" w:type="dxa"/>
          </w:tcPr>
          <w:p w:rsidR="00F86158" w:rsidRDefault="00F86158" w:rsidP="00F86158">
            <w:r>
              <w:t>Historical institutionalism</w:t>
            </w:r>
          </w:p>
          <w:p w:rsidR="00F86158" w:rsidRDefault="00F86158" w:rsidP="00F86158">
            <w:r>
              <w:t xml:space="preserve">Feedback mechanism </w:t>
            </w:r>
          </w:p>
          <w:p w:rsidR="007B61A5" w:rsidRDefault="007B61A5">
            <w:r>
              <w:t>Epistemic communities</w:t>
            </w:r>
          </w:p>
          <w:p w:rsidR="007B61A5" w:rsidRDefault="007B61A5">
            <w:r>
              <w:t>Advocacy coalitions</w:t>
            </w:r>
          </w:p>
          <w:p w:rsidR="007B61A5" w:rsidRDefault="007B61A5"/>
        </w:tc>
        <w:tc>
          <w:tcPr>
            <w:tcW w:w="3904" w:type="dxa"/>
            <w:shd w:val="clear" w:color="auto" w:fill="auto"/>
          </w:tcPr>
          <w:p w:rsidR="00F83EFC" w:rsidRPr="007B092B" w:rsidRDefault="00F83EFC" w:rsidP="007B092B">
            <w:pPr>
              <w:pStyle w:val="ListParagraph"/>
              <w:numPr>
                <w:ilvl w:val="0"/>
                <w:numId w:val="11"/>
              </w:numPr>
              <w:shd w:val="clear" w:color="auto" w:fill="A8D08D" w:themeFill="accent6" w:themeFillTint="99"/>
              <w:tabs>
                <w:tab w:val="left" w:pos="342"/>
              </w:tabs>
              <w:ind w:left="314" w:hanging="224"/>
              <w:rPr>
                <w:rFonts w:ascii="Segoe UI" w:hAnsi="Segoe UI" w:cs="Segoe UI"/>
                <w:sz w:val="18"/>
                <w:szCs w:val="18"/>
              </w:rPr>
            </w:pPr>
            <w:r w:rsidRPr="007B092B">
              <w:rPr>
                <w:rFonts w:ascii="Segoe UI" w:hAnsi="Segoe UI" w:cs="Segoe UI"/>
                <w:sz w:val="18"/>
                <w:szCs w:val="18"/>
              </w:rPr>
              <w:t xml:space="preserve">Haas, P. M. (1989). Do Regimes Matter? Epistemic Communities and Mediterranean Pollution Control. </w:t>
            </w:r>
            <w:r w:rsidRPr="007B092B">
              <w:rPr>
                <w:rFonts w:ascii="Segoe UI" w:hAnsi="Segoe UI" w:cs="Segoe UI"/>
                <w:i/>
                <w:iCs/>
                <w:sz w:val="18"/>
                <w:szCs w:val="18"/>
              </w:rPr>
              <w:t>International Organization, 43</w:t>
            </w:r>
            <w:r w:rsidRPr="007B092B">
              <w:rPr>
                <w:rFonts w:ascii="Segoe UI" w:hAnsi="Segoe UI" w:cs="Segoe UI"/>
                <w:sz w:val="18"/>
                <w:szCs w:val="18"/>
              </w:rPr>
              <w:t>(3), 377-403.</w:t>
            </w:r>
          </w:p>
          <w:p w:rsidR="00736B7E" w:rsidRPr="007B092B" w:rsidRDefault="00736B7E" w:rsidP="007B092B">
            <w:pPr>
              <w:pStyle w:val="ListParagraph"/>
              <w:numPr>
                <w:ilvl w:val="0"/>
                <w:numId w:val="11"/>
              </w:numPr>
              <w:shd w:val="clear" w:color="auto" w:fill="A8D08D" w:themeFill="accent6" w:themeFillTint="99"/>
              <w:tabs>
                <w:tab w:val="left" w:pos="342"/>
              </w:tabs>
              <w:ind w:left="314" w:hanging="224"/>
              <w:rPr>
                <w:rFonts w:ascii="Segoe UI" w:hAnsi="Segoe UI" w:cs="Segoe UI"/>
                <w:sz w:val="18"/>
                <w:szCs w:val="18"/>
              </w:rPr>
            </w:pPr>
            <w:proofErr w:type="spellStart"/>
            <w:r w:rsidRPr="007B092B">
              <w:rPr>
                <w:rFonts w:ascii="Segoe UI" w:hAnsi="Segoe UI" w:cs="Segoe UI"/>
                <w:sz w:val="18"/>
                <w:szCs w:val="18"/>
              </w:rPr>
              <w:t>Weible</w:t>
            </w:r>
            <w:proofErr w:type="spellEnd"/>
            <w:r w:rsidRPr="007B092B">
              <w:rPr>
                <w:rFonts w:ascii="Segoe UI" w:hAnsi="Segoe UI" w:cs="Segoe UI"/>
                <w:sz w:val="18"/>
                <w:szCs w:val="18"/>
              </w:rPr>
              <w:t xml:space="preserve">, C., Sabatier, P., &amp; McQueen, K. (2009). Themes and Variations: Taking Stock of the Advocacy Coalition Framework. </w:t>
            </w:r>
            <w:r w:rsidRPr="007B092B">
              <w:rPr>
                <w:rFonts w:ascii="Segoe UI" w:hAnsi="Segoe UI" w:cs="Segoe UI"/>
                <w:i/>
                <w:iCs/>
                <w:sz w:val="18"/>
                <w:szCs w:val="18"/>
              </w:rPr>
              <w:t>The Policy Studies Journal, 37</w:t>
            </w:r>
            <w:r w:rsidRPr="007B092B">
              <w:rPr>
                <w:rFonts w:ascii="Segoe UI" w:hAnsi="Segoe UI" w:cs="Segoe UI"/>
                <w:sz w:val="18"/>
                <w:szCs w:val="18"/>
              </w:rPr>
              <w:t xml:space="preserve">(1), 121-140. </w:t>
            </w:r>
          </w:p>
          <w:p w:rsidR="002109A4" w:rsidRPr="007B092B" w:rsidRDefault="002109A4" w:rsidP="007B092B">
            <w:pPr>
              <w:pStyle w:val="ListParagraph"/>
              <w:numPr>
                <w:ilvl w:val="0"/>
                <w:numId w:val="11"/>
              </w:numPr>
              <w:shd w:val="clear" w:color="auto" w:fill="A8D08D" w:themeFill="accent6" w:themeFillTint="99"/>
              <w:ind w:left="314" w:hanging="224"/>
              <w:rPr>
                <w:rFonts w:ascii="Segoe UI" w:hAnsi="Segoe UI" w:cs="Segoe UI"/>
                <w:sz w:val="18"/>
                <w:szCs w:val="18"/>
              </w:rPr>
            </w:pPr>
            <w:proofErr w:type="spellStart"/>
            <w:r w:rsidRPr="007B092B">
              <w:rPr>
                <w:rFonts w:ascii="Segoe UI" w:hAnsi="Segoe UI" w:cs="Segoe UI"/>
                <w:sz w:val="18"/>
                <w:szCs w:val="18"/>
              </w:rPr>
              <w:t>Mettler</w:t>
            </w:r>
            <w:proofErr w:type="spellEnd"/>
            <w:r w:rsidRPr="007B092B">
              <w:rPr>
                <w:rFonts w:ascii="Segoe UI" w:hAnsi="Segoe UI" w:cs="Segoe UI"/>
                <w:sz w:val="18"/>
                <w:szCs w:val="18"/>
              </w:rPr>
              <w:t xml:space="preserve">, S. (2002). Bringing the State Back in to Civic Engagement: Policy Feedback Effects of the G.I. </w:t>
            </w:r>
            <w:proofErr w:type="spellStart"/>
            <w:r w:rsidRPr="007B092B">
              <w:rPr>
                <w:rFonts w:ascii="Segoe UI" w:hAnsi="Segoe UI" w:cs="Segoe UI"/>
                <w:sz w:val="18"/>
                <w:szCs w:val="18"/>
              </w:rPr>
              <w:t>Billfor</w:t>
            </w:r>
            <w:proofErr w:type="spellEnd"/>
            <w:r w:rsidRPr="007B092B">
              <w:rPr>
                <w:rFonts w:ascii="Segoe UI" w:hAnsi="Segoe UI" w:cs="Segoe UI"/>
                <w:sz w:val="18"/>
                <w:szCs w:val="18"/>
              </w:rPr>
              <w:t xml:space="preserve"> World War II Veterans. </w:t>
            </w:r>
            <w:r w:rsidRPr="007B092B">
              <w:rPr>
                <w:rFonts w:ascii="Segoe UI" w:hAnsi="Segoe UI" w:cs="Segoe UI"/>
                <w:i/>
                <w:iCs/>
                <w:sz w:val="18"/>
                <w:szCs w:val="18"/>
              </w:rPr>
              <w:t>The American Political Science Review, 96</w:t>
            </w:r>
            <w:r w:rsidRPr="007B092B">
              <w:rPr>
                <w:rFonts w:ascii="Segoe UI" w:hAnsi="Segoe UI" w:cs="Segoe UI"/>
                <w:sz w:val="18"/>
                <w:szCs w:val="18"/>
              </w:rPr>
              <w:t xml:space="preserve">(2), 351-365. </w:t>
            </w:r>
          </w:p>
          <w:p w:rsidR="0079736C" w:rsidRPr="007B092B" w:rsidRDefault="00736B7E" w:rsidP="007B092B">
            <w:pPr>
              <w:pStyle w:val="ListParagraph"/>
              <w:numPr>
                <w:ilvl w:val="0"/>
                <w:numId w:val="11"/>
              </w:numPr>
              <w:shd w:val="clear" w:color="auto" w:fill="A8D08D" w:themeFill="accent6" w:themeFillTint="99"/>
              <w:ind w:left="314" w:hanging="224"/>
              <w:rPr>
                <w:rFonts w:ascii="Segoe UI" w:hAnsi="Segoe UI" w:cs="Segoe UI"/>
                <w:sz w:val="18"/>
                <w:szCs w:val="18"/>
              </w:rPr>
            </w:pPr>
            <w:proofErr w:type="spellStart"/>
            <w:r w:rsidRPr="007B092B">
              <w:rPr>
                <w:rFonts w:ascii="Segoe UI" w:hAnsi="Segoe UI" w:cs="Segoe UI"/>
                <w:sz w:val="18"/>
                <w:szCs w:val="18"/>
              </w:rPr>
              <w:t>Soss</w:t>
            </w:r>
            <w:proofErr w:type="spellEnd"/>
            <w:r w:rsidRPr="007B092B">
              <w:rPr>
                <w:rFonts w:ascii="Segoe UI" w:hAnsi="Segoe UI" w:cs="Segoe UI"/>
                <w:sz w:val="18"/>
                <w:szCs w:val="18"/>
              </w:rPr>
              <w:t xml:space="preserve">, J., &amp; </w:t>
            </w:r>
            <w:proofErr w:type="spellStart"/>
            <w:r w:rsidRPr="007B092B">
              <w:rPr>
                <w:rFonts w:ascii="Segoe UI" w:hAnsi="Segoe UI" w:cs="Segoe UI"/>
                <w:sz w:val="18"/>
                <w:szCs w:val="18"/>
              </w:rPr>
              <w:t>Schram</w:t>
            </w:r>
            <w:proofErr w:type="spellEnd"/>
            <w:r w:rsidRPr="007B092B">
              <w:rPr>
                <w:rFonts w:ascii="Segoe UI" w:hAnsi="Segoe UI" w:cs="Segoe UI"/>
                <w:sz w:val="18"/>
                <w:szCs w:val="18"/>
              </w:rPr>
              <w:t xml:space="preserve">, S. F. (2007). A Public Transformed? Welfare Reform as Policy Feedback. </w:t>
            </w:r>
            <w:r w:rsidRPr="007B092B">
              <w:rPr>
                <w:rFonts w:ascii="Segoe UI" w:hAnsi="Segoe UI" w:cs="Segoe UI"/>
                <w:i/>
                <w:iCs/>
                <w:sz w:val="18"/>
                <w:szCs w:val="18"/>
              </w:rPr>
              <w:t>The American Political Science Review, 101</w:t>
            </w:r>
            <w:r w:rsidRPr="007B092B">
              <w:rPr>
                <w:rFonts w:ascii="Segoe UI" w:hAnsi="Segoe UI" w:cs="Segoe UI"/>
                <w:sz w:val="18"/>
                <w:szCs w:val="18"/>
              </w:rPr>
              <w:t>(1), 111-127.</w:t>
            </w:r>
            <w:r w:rsidR="0079736C" w:rsidRPr="007B092B">
              <w:rPr>
                <w:rFonts w:ascii="Segoe UI" w:hAnsi="Segoe UI" w:cs="Segoe UI"/>
                <w:sz w:val="18"/>
                <w:szCs w:val="18"/>
                <w:shd w:val="clear" w:color="auto" w:fill="A8D08D" w:themeFill="accent6" w:themeFillTint="99"/>
              </w:rPr>
              <w:t xml:space="preserve"> </w:t>
            </w:r>
          </w:p>
          <w:p w:rsidR="001B18BE" w:rsidRPr="007B092B" w:rsidRDefault="001B18BE" w:rsidP="007B092B">
            <w:pPr>
              <w:ind w:left="314" w:hanging="224"/>
              <w:rPr>
                <w:rFonts w:ascii="Segoe UI" w:hAnsi="Segoe UI" w:cs="Segoe UI"/>
                <w:sz w:val="18"/>
                <w:szCs w:val="18"/>
              </w:rPr>
            </w:pPr>
            <w:r w:rsidRPr="007B092B">
              <w:rPr>
                <w:rFonts w:ascii="Segoe UI" w:hAnsi="Segoe UI" w:cs="Segoe UI"/>
                <w:sz w:val="18"/>
                <w:szCs w:val="18"/>
              </w:rPr>
              <w:t>Recommended, not required:</w:t>
            </w:r>
          </w:p>
          <w:p w:rsidR="002109A4" w:rsidRPr="007B092B" w:rsidRDefault="002109A4" w:rsidP="007B092B">
            <w:pPr>
              <w:pStyle w:val="ListParagraph"/>
              <w:numPr>
                <w:ilvl w:val="0"/>
                <w:numId w:val="17"/>
              </w:numPr>
              <w:shd w:val="clear" w:color="auto" w:fill="A8D08D" w:themeFill="accent6" w:themeFillTint="99"/>
              <w:tabs>
                <w:tab w:val="left" w:pos="342"/>
              </w:tabs>
              <w:ind w:left="314" w:hanging="224"/>
              <w:rPr>
                <w:rFonts w:ascii="Segoe UI" w:hAnsi="Segoe UI" w:cs="Segoe UI"/>
                <w:sz w:val="18"/>
                <w:szCs w:val="18"/>
              </w:rPr>
            </w:pPr>
            <w:r w:rsidRPr="007B092B">
              <w:rPr>
                <w:rFonts w:ascii="Segoe UI" w:hAnsi="Segoe UI" w:cs="Segoe UI"/>
                <w:sz w:val="18"/>
                <w:szCs w:val="18"/>
              </w:rPr>
              <w:t xml:space="preserve">Elgin, Dallas J. and Christopher M. </w:t>
            </w:r>
            <w:proofErr w:type="spellStart"/>
            <w:r w:rsidRPr="007B092B">
              <w:rPr>
                <w:rFonts w:ascii="Segoe UI" w:hAnsi="Segoe UI" w:cs="Segoe UI"/>
                <w:sz w:val="18"/>
                <w:szCs w:val="18"/>
              </w:rPr>
              <w:t>Weible</w:t>
            </w:r>
            <w:proofErr w:type="spellEnd"/>
            <w:r w:rsidRPr="007B092B">
              <w:rPr>
                <w:rFonts w:ascii="Segoe UI" w:hAnsi="Segoe UI" w:cs="Segoe UI"/>
                <w:sz w:val="18"/>
                <w:szCs w:val="18"/>
              </w:rPr>
              <w:t xml:space="preserve">. 2013. “A Stakeholder Analysis of Colorado Climate and Energy Issues Using Policy Analytical Capacity and the Advocacy Coalition Framework.” </w:t>
            </w:r>
            <w:r w:rsidRPr="007B092B">
              <w:rPr>
                <w:rFonts w:ascii="Segoe UI" w:hAnsi="Segoe UI" w:cs="Segoe UI"/>
                <w:i/>
                <w:sz w:val="18"/>
                <w:szCs w:val="18"/>
              </w:rPr>
              <w:t>Review of Policy Research</w:t>
            </w:r>
            <w:r w:rsidRPr="007B092B">
              <w:rPr>
                <w:rFonts w:ascii="Segoe UI" w:hAnsi="Segoe UI" w:cs="Segoe UI"/>
                <w:sz w:val="18"/>
                <w:szCs w:val="18"/>
              </w:rPr>
              <w:t>. 30(1): 114-133.</w:t>
            </w:r>
          </w:p>
          <w:p w:rsidR="00736B7E" w:rsidRPr="007B092B" w:rsidRDefault="0079736C" w:rsidP="007B092B">
            <w:pPr>
              <w:pStyle w:val="ListParagraph"/>
              <w:numPr>
                <w:ilvl w:val="0"/>
                <w:numId w:val="17"/>
              </w:numPr>
              <w:shd w:val="clear" w:color="auto" w:fill="A8D08D" w:themeFill="accent6" w:themeFillTint="99"/>
              <w:ind w:left="314" w:hanging="224"/>
              <w:rPr>
                <w:rFonts w:ascii="Segoe UI" w:hAnsi="Segoe UI" w:cs="Segoe UI"/>
                <w:sz w:val="18"/>
                <w:szCs w:val="18"/>
              </w:rPr>
            </w:pPr>
            <w:proofErr w:type="spellStart"/>
            <w:r w:rsidRPr="007B092B">
              <w:rPr>
                <w:rFonts w:ascii="Segoe UI" w:hAnsi="Segoe UI" w:cs="Segoe UI"/>
                <w:sz w:val="18"/>
                <w:szCs w:val="18"/>
                <w:shd w:val="clear" w:color="auto" w:fill="A8D08D" w:themeFill="accent6" w:themeFillTint="99"/>
              </w:rPr>
              <w:t>Mettler</w:t>
            </w:r>
            <w:proofErr w:type="spellEnd"/>
            <w:r w:rsidRPr="007B092B">
              <w:rPr>
                <w:rFonts w:ascii="Segoe UI" w:hAnsi="Segoe UI" w:cs="Segoe UI"/>
                <w:sz w:val="18"/>
                <w:szCs w:val="18"/>
                <w:shd w:val="clear" w:color="auto" w:fill="A8D08D" w:themeFill="accent6" w:themeFillTint="99"/>
              </w:rPr>
              <w:t xml:space="preserve">, S., &amp; </w:t>
            </w:r>
            <w:proofErr w:type="spellStart"/>
            <w:r w:rsidRPr="007B092B">
              <w:rPr>
                <w:rFonts w:ascii="Segoe UI" w:hAnsi="Segoe UI" w:cs="Segoe UI"/>
                <w:sz w:val="18"/>
                <w:szCs w:val="18"/>
                <w:shd w:val="clear" w:color="auto" w:fill="A8D08D" w:themeFill="accent6" w:themeFillTint="99"/>
              </w:rPr>
              <w:t>Stonecash</w:t>
            </w:r>
            <w:proofErr w:type="spellEnd"/>
            <w:r w:rsidRPr="007B092B">
              <w:rPr>
                <w:rFonts w:ascii="Segoe UI" w:hAnsi="Segoe UI" w:cs="Segoe UI"/>
                <w:sz w:val="18"/>
                <w:szCs w:val="18"/>
                <w:shd w:val="clear" w:color="auto" w:fill="A8D08D" w:themeFill="accent6" w:themeFillTint="99"/>
              </w:rPr>
              <w:t xml:space="preserve">, J. M. (2008). Government Program Usage and Political Voice. </w:t>
            </w:r>
            <w:r w:rsidRPr="007B092B">
              <w:rPr>
                <w:rFonts w:ascii="Segoe UI" w:hAnsi="Segoe UI" w:cs="Segoe UI"/>
                <w:i/>
                <w:iCs/>
                <w:sz w:val="18"/>
                <w:szCs w:val="18"/>
                <w:shd w:val="clear" w:color="auto" w:fill="A8D08D" w:themeFill="accent6" w:themeFillTint="99"/>
              </w:rPr>
              <w:t>Social Science Quarterly, 89</w:t>
            </w:r>
            <w:r w:rsidRPr="007B092B">
              <w:rPr>
                <w:rFonts w:ascii="Segoe UI" w:hAnsi="Segoe UI" w:cs="Segoe UI"/>
                <w:sz w:val="18"/>
                <w:szCs w:val="18"/>
                <w:shd w:val="clear" w:color="auto" w:fill="A8D08D" w:themeFill="accent6" w:themeFillTint="99"/>
              </w:rPr>
              <w:t>(2), 273-293.</w:t>
            </w:r>
          </w:p>
          <w:p w:rsidR="002109A4" w:rsidRPr="007B092B" w:rsidRDefault="002109A4" w:rsidP="007B092B">
            <w:pPr>
              <w:pStyle w:val="ListParagraph"/>
              <w:numPr>
                <w:ilvl w:val="0"/>
                <w:numId w:val="17"/>
              </w:numPr>
              <w:shd w:val="clear" w:color="auto" w:fill="A8D08D" w:themeFill="accent6" w:themeFillTint="99"/>
              <w:tabs>
                <w:tab w:val="left" w:pos="342"/>
              </w:tabs>
              <w:ind w:left="314" w:hanging="224"/>
              <w:rPr>
                <w:rFonts w:ascii="Segoe UI" w:hAnsi="Segoe UI" w:cs="Segoe UI"/>
                <w:sz w:val="18"/>
                <w:szCs w:val="18"/>
              </w:rPr>
            </w:pPr>
            <w:r w:rsidRPr="007B092B">
              <w:rPr>
                <w:rFonts w:ascii="Segoe UI" w:hAnsi="Segoe UI" w:cs="Segoe UI"/>
                <w:sz w:val="18"/>
                <w:szCs w:val="18"/>
              </w:rPr>
              <w:t>Sabatier, P. A. Policy Change over a Decade or More. In (pp. 13-39).</w:t>
            </w:r>
          </w:p>
          <w:p w:rsidR="0079736C" w:rsidRPr="007B092B" w:rsidRDefault="0079736C" w:rsidP="007B092B">
            <w:pPr>
              <w:pStyle w:val="ListParagraph"/>
              <w:numPr>
                <w:ilvl w:val="0"/>
                <w:numId w:val="17"/>
              </w:numPr>
              <w:shd w:val="clear" w:color="auto" w:fill="A8D08D" w:themeFill="accent6" w:themeFillTint="99"/>
              <w:ind w:left="314" w:hanging="224"/>
              <w:rPr>
                <w:rFonts w:ascii="Segoe UI" w:hAnsi="Segoe UI" w:cs="Segoe UI"/>
                <w:sz w:val="18"/>
                <w:szCs w:val="18"/>
              </w:rPr>
            </w:pPr>
            <w:r w:rsidRPr="007B092B">
              <w:rPr>
                <w:rFonts w:ascii="Segoe UI" w:hAnsi="Segoe UI" w:cs="Segoe UI"/>
                <w:sz w:val="18"/>
                <w:szCs w:val="18"/>
                <w:lang w:val="sv-SE"/>
              </w:rPr>
              <w:t xml:space="preserve">Tejerina, B., Perugorría, I., Benski, T., &amp; Langman, L. (2013). </w:t>
            </w:r>
            <w:r w:rsidRPr="007B092B">
              <w:rPr>
                <w:rFonts w:ascii="Segoe UI" w:hAnsi="Segoe UI" w:cs="Segoe UI"/>
                <w:sz w:val="18"/>
                <w:szCs w:val="18"/>
              </w:rPr>
              <w:t xml:space="preserve">From indignation to occupation: A new wave of global mobilization </w:t>
            </w:r>
            <w:r w:rsidRPr="007B092B">
              <w:rPr>
                <w:rFonts w:ascii="Segoe UI" w:hAnsi="Segoe UI" w:cs="Segoe UI"/>
                <w:i/>
                <w:iCs/>
                <w:sz w:val="18"/>
                <w:szCs w:val="18"/>
              </w:rPr>
              <w:t>Current Sociology, 61</w:t>
            </w:r>
            <w:r w:rsidRPr="007B092B">
              <w:rPr>
                <w:rFonts w:ascii="Segoe UI" w:hAnsi="Segoe UI" w:cs="Segoe UI"/>
                <w:sz w:val="18"/>
                <w:szCs w:val="18"/>
              </w:rPr>
              <w:t>(4), 377 - 392.</w:t>
            </w:r>
          </w:p>
          <w:p w:rsidR="00356809" w:rsidRPr="007B092B" w:rsidRDefault="00356809" w:rsidP="007B092B">
            <w:pPr>
              <w:pStyle w:val="ListParagraph"/>
              <w:numPr>
                <w:ilvl w:val="0"/>
                <w:numId w:val="17"/>
              </w:numPr>
              <w:tabs>
                <w:tab w:val="left" w:pos="342"/>
              </w:tabs>
              <w:ind w:left="314" w:hanging="224"/>
              <w:rPr>
                <w:rFonts w:ascii="Segoe UI" w:hAnsi="Segoe UI" w:cs="Segoe UI"/>
                <w:sz w:val="18"/>
                <w:szCs w:val="18"/>
              </w:rPr>
            </w:pPr>
            <w:r w:rsidRPr="007B092B">
              <w:rPr>
                <w:rFonts w:ascii="Segoe UI" w:hAnsi="Segoe UI" w:cs="Segoe UI"/>
                <w:sz w:val="18"/>
                <w:szCs w:val="18"/>
              </w:rPr>
              <w:lastRenderedPageBreak/>
              <w:t xml:space="preserve">Jenkins-Smith, Hank C., Daniel </w:t>
            </w:r>
            <w:proofErr w:type="spellStart"/>
            <w:r w:rsidRPr="007B092B">
              <w:rPr>
                <w:rFonts w:ascii="Segoe UI" w:hAnsi="Segoe UI" w:cs="Segoe UI"/>
                <w:sz w:val="18"/>
                <w:szCs w:val="18"/>
              </w:rPr>
              <w:t>Nohrstedt</w:t>
            </w:r>
            <w:proofErr w:type="spellEnd"/>
            <w:r w:rsidRPr="007B092B">
              <w:rPr>
                <w:rFonts w:ascii="Segoe UI" w:hAnsi="Segoe UI" w:cs="Segoe UI"/>
                <w:sz w:val="18"/>
                <w:szCs w:val="18"/>
              </w:rPr>
              <w:t xml:space="preserve">, Christopher M. </w:t>
            </w:r>
            <w:proofErr w:type="spellStart"/>
            <w:r w:rsidRPr="007B092B">
              <w:rPr>
                <w:rFonts w:ascii="Segoe UI" w:hAnsi="Segoe UI" w:cs="Segoe UI"/>
                <w:sz w:val="18"/>
                <w:szCs w:val="18"/>
              </w:rPr>
              <w:t>Weible</w:t>
            </w:r>
            <w:proofErr w:type="spellEnd"/>
            <w:r w:rsidRPr="007B092B">
              <w:rPr>
                <w:rFonts w:ascii="Segoe UI" w:hAnsi="Segoe UI" w:cs="Segoe UI"/>
                <w:sz w:val="18"/>
                <w:szCs w:val="18"/>
              </w:rPr>
              <w:t xml:space="preserve">, and Paul A. Sabatier. 2014. “The Advocacy Coalition Framework: Foundations, Evolution, and Ongoing Research.” In </w:t>
            </w:r>
            <w:r w:rsidRPr="007B092B">
              <w:rPr>
                <w:rFonts w:ascii="Segoe UI" w:hAnsi="Segoe UI" w:cs="Segoe UI"/>
                <w:i/>
                <w:sz w:val="18"/>
                <w:szCs w:val="18"/>
              </w:rPr>
              <w:t>Theories of the Policy Process</w:t>
            </w:r>
            <w:r w:rsidRPr="007B092B">
              <w:rPr>
                <w:rFonts w:ascii="Segoe UI" w:hAnsi="Segoe UI" w:cs="Segoe UI"/>
                <w:sz w:val="18"/>
                <w:szCs w:val="18"/>
              </w:rPr>
              <w:t>, 3</w:t>
            </w:r>
            <w:r w:rsidRPr="007B092B">
              <w:rPr>
                <w:rFonts w:ascii="Segoe UI" w:hAnsi="Segoe UI" w:cs="Segoe UI"/>
                <w:sz w:val="18"/>
                <w:szCs w:val="18"/>
                <w:vertAlign w:val="superscript"/>
              </w:rPr>
              <w:t>rd</w:t>
            </w:r>
            <w:r w:rsidRPr="007B092B">
              <w:rPr>
                <w:rFonts w:ascii="Segoe UI" w:hAnsi="Segoe UI" w:cs="Segoe UI"/>
                <w:sz w:val="18"/>
                <w:szCs w:val="18"/>
              </w:rPr>
              <w:t xml:space="preserve"> edition, Sabatier and </w:t>
            </w:r>
            <w:proofErr w:type="spellStart"/>
            <w:r w:rsidRPr="007B092B">
              <w:rPr>
                <w:rFonts w:ascii="Segoe UI" w:hAnsi="Segoe UI" w:cs="Segoe UI"/>
                <w:sz w:val="18"/>
                <w:szCs w:val="18"/>
              </w:rPr>
              <w:t>Weible</w:t>
            </w:r>
            <w:proofErr w:type="spellEnd"/>
            <w:r w:rsidRPr="007B092B">
              <w:rPr>
                <w:rFonts w:ascii="Segoe UI" w:hAnsi="Segoe UI" w:cs="Segoe UI"/>
                <w:sz w:val="18"/>
                <w:szCs w:val="18"/>
              </w:rPr>
              <w:t>, Boulder, CO: Westview Press.</w:t>
            </w:r>
          </w:p>
          <w:p w:rsidR="00F86158" w:rsidRPr="007B092B" w:rsidRDefault="00F86158" w:rsidP="007B092B">
            <w:pPr>
              <w:pStyle w:val="ListParagraph"/>
              <w:numPr>
                <w:ilvl w:val="0"/>
                <w:numId w:val="17"/>
              </w:numPr>
              <w:shd w:val="clear" w:color="auto" w:fill="A8D08D" w:themeFill="accent6" w:themeFillTint="99"/>
              <w:tabs>
                <w:tab w:val="left" w:pos="342"/>
              </w:tabs>
              <w:ind w:left="314" w:hanging="224"/>
              <w:rPr>
                <w:rFonts w:ascii="Segoe UI" w:hAnsi="Segoe UI" w:cs="Segoe UI"/>
                <w:sz w:val="18"/>
                <w:szCs w:val="18"/>
              </w:rPr>
            </w:pPr>
            <w:r w:rsidRPr="007B092B">
              <w:rPr>
                <w:rFonts w:ascii="Segoe UI" w:hAnsi="Segoe UI" w:cs="Segoe UI"/>
                <w:sz w:val="18"/>
                <w:szCs w:val="18"/>
              </w:rPr>
              <w:t xml:space="preserve">Article by </w:t>
            </w:r>
            <w:proofErr w:type="spellStart"/>
            <w:r w:rsidRPr="007B092B">
              <w:rPr>
                <w:rFonts w:ascii="Segoe UI" w:hAnsi="Segoe UI" w:cs="Segoe UI"/>
                <w:sz w:val="18"/>
                <w:szCs w:val="18"/>
              </w:rPr>
              <w:t>Wildavsky</w:t>
            </w:r>
            <w:proofErr w:type="spellEnd"/>
            <w:r w:rsidRPr="007B092B">
              <w:rPr>
                <w:rFonts w:ascii="Segoe UI" w:hAnsi="Segoe UI" w:cs="Segoe UI"/>
                <w:sz w:val="18"/>
                <w:szCs w:val="18"/>
              </w:rPr>
              <w:t xml:space="preserve"> et al</w:t>
            </w:r>
          </w:p>
          <w:p w:rsidR="00F86158" w:rsidRPr="007B092B" w:rsidRDefault="00F86158" w:rsidP="007B092B">
            <w:pPr>
              <w:pStyle w:val="ListParagraph"/>
              <w:numPr>
                <w:ilvl w:val="0"/>
                <w:numId w:val="17"/>
              </w:numPr>
              <w:tabs>
                <w:tab w:val="left" w:pos="342"/>
              </w:tabs>
              <w:ind w:left="314" w:hanging="224"/>
              <w:rPr>
                <w:rFonts w:ascii="Segoe UI" w:hAnsi="Segoe UI" w:cs="Segoe UI"/>
                <w:sz w:val="18"/>
                <w:szCs w:val="18"/>
              </w:rPr>
            </w:pPr>
            <w:r w:rsidRPr="007B092B">
              <w:rPr>
                <w:rFonts w:ascii="Segoe UI" w:hAnsi="Segoe UI" w:cs="Segoe UI"/>
                <w:sz w:val="18"/>
                <w:szCs w:val="18"/>
              </w:rPr>
              <w:t xml:space="preserve">Haas, P. M. (1992). Introduction: Epistemic Communities and International Policy Coordination. </w:t>
            </w:r>
            <w:r w:rsidRPr="007B092B">
              <w:rPr>
                <w:rFonts w:ascii="Segoe UI" w:hAnsi="Segoe UI" w:cs="Segoe UI"/>
                <w:i/>
                <w:iCs/>
                <w:sz w:val="18"/>
                <w:szCs w:val="18"/>
              </w:rPr>
              <w:t>International Organization, 46</w:t>
            </w:r>
            <w:r w:rsidRPr="007B092B">
              <w:rPr>
                <w:rFonts w:ascii="Segoe UI" w:hAnsi="Segoe UI" w:cs="Segoe UI"/>
                <w:sz w:val="18"/>
                <w:szCs w:val="18"/>
              </w:rPr>
              <w:t>(1), 1-35.</w:t>
            </w:r>
          </w:p>
          <w:p w:rsidR="00E2770E" w:rsidRPr="007B092B" w:rsidRDefault="00E2770E" w:rsidP="007B092B">
            <w:pPr>
              <w:pStyle w:val="ListParagraph"/>
              <w:numPr>
                <w:ilvl w:val="0"/>
                <w:numId w:val="17"/>
              </w:numPr>
              <w:tabs>
                <w:tab w:val="left" w:pos="342"/>
              </w:tabs>
              <w:ind w:left="314" w:hanging="224"/>
              <w:rPr>
                <w:rFonts w:ascii="Segoe UI" w:hAnsi="Segoe UI" w:cs="Segoe UI"/>
                <w:sz w:val="18"/>
                <w:szCs w:val="18"/>
              </w:rPr>
            </w:pPr>
            <w:proofErr w:type="spellStart"/>
            <w:r w:rsidRPr="007B092B">
              <w:rPr>
                <w:rFonts w:ascii="Segoe UI" w:hAnsi="Segoe UI" w:cs="Segoe UI"/>
                <w:sz w:val="18"/>
                <w:szCs w:val="18"/>
              </w:rPr>
              <w:t>Mettler</w:t>
            </w:r>
            <w:proofErr w:type="spellEnd"/>
            <w:r w:rsidRPr="007B092B">
              <w:rPr>
                <w:rFonts w:ascii="Segoe UI" w:hAnsi="Segoe UI" w:cs="Segoe UI"/>
                <w:sz w:val="18"/>
                <w:szCs w:val="18"/>
              </w:rPr>
              <w:t xml:space="preserve">, S., &amp; </w:t>
            </w:r>
            <w:proofErr w:type="spellStart"/>
            <w:r w:rsidRPr="007B092B">
              <w:rPr>
                <w:rFonts w:ascii="Segoe UI" w:hAnsi="Segoe UI" w:cs="Segoe UI"/>
                <w:sz w:val="18"/>
                <w:szCs w:val="18"/>
              </w:rPr>
              <w:t>Soss</w:t>
            </w:r>
            <w:proofErr w:type="spellEnd"/>
            <w:r w:rsidRPr="007B092B">
              <w:rPr>
                <w:rFonts w:ascii="Segoe UI" w:hAnsi="Segoe UI" w:cs="Segoe UI"/>
                <w:sz w:val="18"/>
                <w:szCs w:val="18"/>
              </w:rPr>
              <w:t xml:space="preserve">, J. (2004). The Consequences of Public Policy for Democratic Citizenship: Bridging Policy Studies and Mass Politics. </w:t>
            </w:r>
            <w:r w:rsidRPr="007B092B">
              <w:rPr>
                <w:rFonts w:ascii="Segoe UI" w:hAnsi="Segoe UI" w:cs="Segoe UI"/>
                <w:i/>
                <w:iCs/>
                <w:sz w:val="18"/>
                <w:szCs w:val="18"/>
              </w:rPr>
              <w:t>Perspectives on Politics, 2</w:t>
            </w:r>
            <w:r w:rsidRPr="007B092B">
              <w:rPr>
                <w:rFonts w:ascii="Segoe UI" w:hAnsi="Segoe UI" w:cs="Segoe UI"/>
                <w:sz w:val="18"/>
                <w:szCs w:val="18"/>
              </w:rPr>
              <w:t>(1), 55-73.</w:t>
            </w:r>
          </w:p>
          <w:p w:rsidR="00F86158" w:rsidRPr="007B092B" w:rsidRDefault="00E2770E" w:rsidP="007B092B">
            <w:pPr>
              <w:pStyle w:val="ListParagraph"/>
              <w:numPr>
                <w:ilvl w:val="0"/>
                <w:numId w:val="17"/>
              </w:numPr>
              <w:tabs>
                <w:tab w:val="left" w:pos="342"/>
              </w:tabs>
              <w:ind w:left="314" w:hanging="224"/>
              <w:rPr>
                <w:rFonts w:ascii="Segoe UI" w:hAnsi="Segoe UI" w:cs="Segoe UI"/>
                <w:sz w:val="18"/>
                <w:szCs w:val="18"/>
              </w:rPr>
            </w:pPr>
            <w:proofErr w:type="spellStart"/>
            <w:r w:rsidRPr="007B092B">
              <w:rPr>
                <w:rFonts w:ascii="Segoe UI" w:hAnsi="Segoe UI" w:cs="Segoe UI"/>
                <w:sz w:val="18"/>
                <w:szCs w:val="18"/>
              </w:rPr>
              <w:t>Nabatchi</w:t>
            </w:r>
            <w:proofErr w:type="spellEnd"/>
            <w:r w:rsidRPr="007B092B">
              <w:rPr>
                <w:rFonts w:ascii="Segoe UI" w:hAnsi="Segoe UI" w:cs="Segoe UI"/>
                <w:sz w:val="18"/>
                <w:szCs w:val="18"/>
              </w:rPr>
              <w:t xml:space="preserve">, T. (2012). Putting the "Public" Back in Public Values Research: Designing Participation to Identify and Respond to Values. </w:t>
            </w:r>
            <w:r w:rsidRPr="007B092B">
              <w:rPr>
                <w:rFonts w:ascii="Segoe UI" w:hAnsi="Segoe UI" w:cs="Segoe UI"/>
                <w:i/>
                <w:iCs/>
                <w:sz w:val="18"/>
                <w:szCs w:val="18"/>
              </w:rPr>
              <w:t>Public Administration Review, 72</w:t>
            </w:r>
            <w:r w:rsidRPr="007B092B">
              <w:rPr>
                <w:rFonts w:ascii="Segoe UI" w:hAnsi="Segoe UI" w:cs="Segoe UI"/>
                <w:sz w:val="18"/>
                <w:szCs w:val="18"/>
              </w:rPr>
              <w:t>(5), 699-708.</w:t>
            </w:r>
            <w:r w:rsidR="00F86158" w:rsidRPr="007B092B">
              <w:rPr>
                <w:rFonts w:ascii="Segoe UI" w:hAnsi="Segoe UI" w:cs="Segoe UI"/>
                <w:sz w:val="18"/>
                <w:szCs w:val="18"/>
              </w:rPr>
              <w:t xml:space="preserve"> </w:t>
            </w:r>
          </w:p>
          <w:p w:rsidR="00F86158" w:rsidRPr="007B092B" w:rsidRDefault="00F86158" w:rsidP="007B092B">
            <w:pPr>
              <w:pStyle w:val="ListParagraph"/>
              <w:numPr>
                <w:ilvl w:val="0"/>
                <w:numId w:val="17"/>
              </w:numPr>
              <w:tabs>
                <w:tab w:val="left" w:pos="342"/>
              </w:tabs>
              <w:ind w:left="314" w:hanging="224"/>
              <w:rPr>
                <w:rFonts w:ascii="Segoe UI" w:hAnsi="Segoe UI" w:cs="Segoe UI"/>
                <w:sz w:val="18"/>
                <w:szCs w:val="18"/>
              </w:rPr>
            </w:pPr>
            <w:r w:rsidRPr="007B092B">
              <w:rPr>
                <w:rFonts w:ascii="Segoe UI" w:hAnsi="Segoe UI" w:cs="Segoe UI"/>
                <w:sz w:val="18"/>
                <w:szCs w:val="18"/>
              </w:rPr>
              <w:t xml:space="preserve">Benner, C., &amp; Pastor, M. (2015). Stepping Back: Theorizing Diverse and Dynamic Epistemic Communities. In C. Benner &amp; M. Pastor (Eds.), </w:t>
            </w:r>
            <w:r w:rsidRPr="007B092B">
              <w:rPr>
                <w:rFonts w:ascii="Segoe UI" w:hAnsi="Segoe UI" w:cs="Segoe UI"/>
                <w:i/>
                <w:iCs/>
                <w:sz w:val="18"/>
                <w:szCs w:val="18"/>
              </w:rPr>
              <w:t>Equity, Growth, and Community</w:t>
            </w:r>
            <w:r w:rsidRPr="007B092B">
              <w:rPr>
                <w:rFonts w:ascii="Segoe UI" w:hAnsi="Segoe UI" w:cs="Segoe UI"/>
                <w:sz w:val="18"/>
                <w:szCs w:val="18"/>
              </w:rPr>
              <w:t xml:space="preserve"> (pp. 189-214): University of California Press.</w:t>
            </w:r>
          </w:p>
          <w:p w:rsidR="00E2770E" w:rsidRPr="007B092B" w:rsidRDefault="00E2770E" w:rsidP="007B092B">
            <w:pPr>
              <w:tabs>
                <w:tab w:val="left" w:pos="342"/>
              </w:tabs>
              <w:ind w:left="314" w:hanging="224"/>
              <w:rPr>
                <w:rFonts w:ascii="Segoe UI" w:hAnsi="Segoe UI" w:cs="Segoe UI"/>
                <w:sz w:val="18"/>
                <w:szCs w:val="18"/>
              </w:rPr>
            </w:pPr>
          </w:p>
        </w:tc>
        <w:tc>
          <w:tcPr>
            <w:tcW w:w="3268" w:type="dxa"/>
          </w:tcPr>
          <w:p w:rsidR="007B61A5" w:rsidRDefault="007B61A5"/>
        </w:tc>
      </w:tr>
      <w:tr w:rsidR="007B61A5" w:rsidTr="00EA7029">
        <w:tc>
          <w:tcPr>
            <w:tcW w:w="1150" w:type="dxa"/>
          </w:tcPr>
          <w:p w:rsidR="007B61A5" w:rsidRDefault="007B61A5">
            <w:r>
              <w:lastRenderedPageBreak/>
              <w:t>Sept 26</w:t>
            </w:r>
          </w:p>
        </w:tc>
        <w:tc>
          <w:tcPr>
            <w:tcW w:w="1964" w:type="dxa"/>
          </w:tcPr>
          <w:p w:rsidR="007B61A5" w:rsidRDefault="007B61A5">
            <w:r>
              <w:t>Critical theory</w:t>
            </w:r>
          </w:p>
        </w:tc>
        <w:tc>
          <w:tcPr>
            <w:tcW w:w="3209" w:type="dxa"/>
          </w:tcPr>
          <w:p w:rsidR="007B61A5" w:rsidRDefault="007B61A5">
            <w:r>
              <w:t>Social construction of target populations</w:t>
            </w:r>
          </w:p>
          <w:p w:rsidR="008B5283" w:rsidRDefault="008B5283">
            <w:r>
              <w:t>Gender</w:t>
            </w:r>
          </w:p>
          <w:p w:rsidR="007B61A5" w:rsidRDefault="007B61A5">
            <w:r>
              <w:t>What accent the heavenly chorus</w:t>
            </w:r>
          </w:p>
          <w:p w:rsidR="007B61A5" w:rsidRDefault="007B61A5">
            <w:r>
              <w:t>Structural racism</w:t>
            </w:r>
          </w:p>
        </w:tc>
        <w:tc>
          <w:tcPr>
            <w:tcW w:w="3904" w:type="dxa"/>
            <w:shd w:val="clear" w:color="auto" w:fill="A8D08D" w:themeFill="accent6" w:themeFillTint="99"/>
          </w:tcPr>
          <w:p w:rsidR="00BE112C" w:rsidRPr="007B092B" w:rsidRDefault="00BE112C" w:rsidP="007B092B">
            <w:pPr>
              <w:pStyle w:val="ListParagraph"/>
              <w:numPr>
                <w:ilvl w:val="0"/>
                <w:numId w:val="5"/>
              </w:numPr>
              <w:shd w:val="clear" w:color="auto" w:fill="A8D08D" w:themeFill="accent6" w:themeFillTint="99"/>
              <w:ind w:left="404"/>
              <w:rPr>
                <w:rFonts w:ascii="Segoe UI" w:hAnsi="Segoe UI" w:cs="Segoe UI"/>
                <w:sz w:val="18"/>
                <w:szCs w:val="18"/>
              </w:rPr>
            </w:pPr>
            <w:r w:rsidRPr="007B092B">
              <w:rPr>
                <w:rFonts w:ascii="Segoe UI" w:hAnsi="Segoe UI" w:cs="Segoe UI"/>
                <w:sz w:val="18"/>
                <w:szCs w:val="18"/>
              </w:rPr>
              <w:t xml:space="preserve">Ainsworth, S. H. (2002). Lobbying. In </w:t>
            </w:r>
            <w:r w:rsidRPr="007B092B">
              <w:rPr>
                <w:rFonts w:ascii="Segoe UI" w:hAnsi="Segoe UI" w:cs="Segoe UI"/>
                <w:i/>
                <w:iCs/>
                <w:sz w:val="18"/>
                <w:szCs w:val="18"/>
              </w:rPr>
              <w:t>Analyzing Interest Groups: Group Influence on People and Policies</w:t>
            </w:r>
            <w:r w:rsidRPr="007B092B">
              <w:rPr>
                <w:rFonts w:ascii="Segoe UI" w:hAnsi="Segoe UI" w:cs="Segoe UI"/>
                <w:sz w:val="18"/>
                <w:szCs w:val="18"/>
              </w:rPr>
              <w:t xml:space="preserve"> (pp. 119-143). New York: W. W. Norton &amp; Company.</w:t>
            </w:r>
          </w:p>
          <w:p w:rsidR="00E16A35" w:rsidRPr="007B092B" w:rsidRDefault="006411CA"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Schlozman</w:t>
            </w:r>
            <w:proofErr w:type="spellEnd"/>
            <w:r w:rsidRPr="007B092B">
              <w:rPr>
                <w:rFonts w:ascii="Segoe UI" w:hAnsi="Segoe UI" w:cs="Segoe UI"/>
                <w:sz w:val="18"/>
                <w:szCs w:val="18"/>
              </w:rPr>
              <w:t xml:space="preserve">, K. (1984). What Accent the Heavenly Chorus? </w:t>
            </w:r>
            <w:proofErr w:type="spellStart"/>
            <w:r w:rsidRPr="007B092B">
              <w:rPr>
                <w:rFonts w:ascii="Segoe UI" w:hAnsi="Segoe UI" w:cs="Segoe UI"/>
                <w:sz w:val="18"/>
                <w:szCs w:val="18"/>
              </w:rPr>
              <w:t>Poltical</w:t>
            </w:r>
            <w:proofErr w:type="spellEnd"/>
            <w:r w:rsidRPr="007B092B">
              <w:rPr>
                <w:rFonts w:ascii="Segoe UI" w:hAnsi="Segoe UI" w:cs="Segoe UI"/>
                <w:sz w:val="18"/>
                <w:szCs w:val="18"/>
              </w:rPr>
              <w:t xml:space="preserve"> Equality and the American Pressure System. </w:t>
            </w:r>
            <w:r w:rsidRPr="007B092B">
              <w:rPr>
                <w:rFonts w:ascii="Segoe UI" w:hAnsi="Segoe UI" w:cs="Segoe UI"/>
                <w:i/>
                <w:iCs/>
                <w:sz w:val="18"/>
                <w:szCs w:val="18"/>
              </w:rPr>
              <w:t>The Journal of Politics, 46</w:t>
            </w:r>
            <w:r w:rsidRPr="007B092B">
              <w:rPr>
                <w:rFonts w:ascii="Segoe UI" w:hAnsi="Segoe UI" w:cs="Segoe UI"/>
                <w:sz w:val="18"/>
                <w:szCs w:val="18"/>
              </w:rPr>
              <w:t>, 1006-1032.</w:t>
            </w:r>
          </w:p>
          <w:p w:rsidR="00BE112C" w:rsidRPr="007B092B" w:rsidRDefault="00B51499" w:rsidP="007B092B">
            <w:pPr>
              <w:pStyle w:val="ListParagraph"/>
              <w:numPr>
                <w:ilvl w:val="0"/>
                <w:numId w:val="5"/>
              </w:numPr>
              <w:shd w:val="clear" w:color="auto" w:fill="A8D08D" w:themeFill="accent6" w:themeFillTint="99"/>
              <w:ind w:left="404"/>
              <w:rPr>
                <w:rFonts w:ascii="Segoe UI" w:hAnsi="Segoe UI" w:cs="Segoe UI"/>
                <w:sz w:val="18"/>
                <w:szCs w:val="18"/>
              </w:rPr>
            </w:pPr>
            <w:r w:rsidRPr="007B092B">
              <w:rPr>
                <w:rFonts w:ascii="Segoe UI" w:hAnsi="Segoe UI" w:cs="Segoe UI"/>
                <w:sz w:val="18"/>
                <w:szCs w:val="18"/>
                <w:lang w:val="sv-SE"/>
              </w:rPr>
              <w:lastRenderedPageBreak/>
              <w:t xml:space="preserve">Schneider, Anne and Helen Ingram. </w:t>
            </w:r>
            <w:r w:rsidRPr="007B092B">
              <w:rPr>
                <w:rFonts w:ascii="Segoe UI" w:hAnsi="Segoe UI" w:cs="Segoe UI"/>
                <w:sz w:val="18"/>
                <w:szCs w:val="18"/>
              </w:rPr>
              <w:t>1993. “</w:t>
            </w:r>
            <w:r w:rsidRPr="007B092B">
              <w:rPr>
                <w:rFonts w:ascii="Segoe UI" w:hAnsi="Segoe UI" w:cs="Segoe UI"/>
                <w:bCs/>
                <w:sz w:val="18"/>
                <w:szCs w:val="18"/>
              </w:rPr>
              <w:t>Social Construction of Target Populations: Implications for Politics and Policy.</w:t>
            </w:r>
            <w:r w:rsidRPr="007B092B">
              <w:rPr>
                <w:rFonts w:ascii="Segoe UI" w:hAnsi="Segoe UI" w:cs="Segoe UI"/>
                <w:bCs/>
                <w:i/>
                <w:sz w:val="18"/>
                <w:szCs w:val="18"/>
              </w:rPr>
              <w:t xml:space="preserve">” American Political Science Review </w:t>
            </w:r>
            <w:r w:rsidRPr="007B092B">
              <w:rPr>
                <w:rFonts w:ascii="Segoe UI" w:hAnsi="Segoe UI" w:cs="Segoe UI"/>
                <w:bCs/>
                <w:sz w:val="18"/>
                <w:szCs w:val="18"/>
              </w:rPr>
              <w:t xml:space="preserve">87(2) </w:t>
            </w:r>
            <w:r w:rsidRPr="007B092B">
              <w:rPr>
                <w:rFonts w:ascii="Segoe UI" w:hAnsi="Segoe UI" w:cs="Segoe UI"/>
                <w:sz w:val="18"/>
                <w:szCs w:val="18"/>
              </w:rPr>
              <w:t>334-347.</w:t>
            </w:r>
          </w:p>
          <w:p w:rsidR="00340716" w:rsidRPr="007B092B" w:rsidRDefault="00340716" w:rsidP="007B092B">
            <w:pPr>
              <w:pStyle w:val="ListParagraph"/>
              <w:numPr>
                <w:ilvl w:val="0"/>
                <w:numId w:val="5"/>
              </w:numPr>
              <w:shd w:val="clear" w:color="auto" w:fill="A8D08D" w:themeFill="accent6" w:themeFillTint="99"/>
              <w:ind w:left="404"/>
              <w:rPr>
                <w:rFonts w:ascii="Segoe UI" w:hAnsi="Segoe UI" w:cs="Segoe UI"/>
                <w:sz w:val="18"/>
                <w:szCs w:val="18"/>
              </w:rPr>
            </w:pPr>
            <w:r w:rsidRPr="007B092B">
              <w:rPr>
                <w:rFonts w:ascii="Segoe UI" w:hAnsi="Segoe UI" w:cs="Segoe UI"/>
                <w:sz w:val="18"/>
                <w:szCs w:val="18"/>
              </w:rPr>
              <w:t xml:space="preserve">Andersen, M. L. (2001). Restructuring for Whom? Race, Class, Gender, and the Ideology of Invisibility. </w:t>
            </w:r>
            <w:r w:rsidRPr="007B092B">
              <w:rPr>
                <w:rFonts w:ascii="Segoe UI" w:hAnsi="Segoe UI" w:cs="Segoe UI"/>
                <w:i/>
                <w:iCs/>
                <w:sz w:val="18"/>
                <w:szCs w:val="18"/>
              </w:rPr>
              <w:t>Sociological Forum, 16</w:t>
            </w:r>
            <w:proofErr w:type="gramStart"/>
            <w:r w:rsidRPr="007B092B">
              <w:rPr>
                <w:rFonts w:ascii="Segoe UI" w:hAnsi="Segoe UI" w:cs="Segoe UI"/>
                <w:i/>
                <w:iCs/>
                <w:sz w:val="18"/>
                <w:szCs w:val="18"/>
              </w:rPr>
              <w:t>,</w:t>
            </w:r>
            <w:r w:rsidRPr="007B092B">
              <w:rPr>
                <w:rFonts w:ascii="Segoe UI" w:hAnsi="Segoe UI" w:cs="Segoe UI"/>
                <w:sz w:val="18"/>
                <w:szCs w:val="18"/>
              </w:rPr>
              <w:t>(</w:t>
            </w:r>
            <w:proofErr w:type="gramEnd"/>
            <w:r w:rsidRPr="007B092B">
              <w:rPr>
                <w:rFonts w:ascii="Segoe UI" w:hAnsi="Segoe UI" w:cs="Segoe UI"/>
                <w:sz w:val="18"/>
                <w:szCs w:val="18"/>
              </w:rPr>
              <w:t xml:space="preserve">2), 181-201. </w:t>
            </w:r>
          </w:p>
          <w:p w:rsidR="00340716" w:rsidRPr="007B092B" w:rsidRDefault="00340716" w:rsidP="007B092B">
            <w:pPr>
              <w:pStyle w:val="ListParagraph"/>
              <w:numPr>
                <w:ilvl w:val="0"/>
                <w:numId w:val="5"/>
              </w:numPr>
              <w:ind w:left="404"/>
              <w:rPr>
                <w:rFonts w:ascii="Segoe UI" w:hAnsi="Segoe UI" w:cs="Segoe UI"/>
                <w:sz w:val="18"/>
                <w:szCs w:val="18"/>
              </w:rPr>
            </w:pPr>
            <w:r w:rsidRPr="007B092B">
              <w:rPr>
                <w:rFonts w:ascii="Segoe UI" w:hAnsi="Segoe UI" w:cs="Segoe UI"/>
                <w:sz w:val="18"/>
                <w:szCs w:val="18"/>
              </w:rPr>
              <w:t xml:space="preserve">Billings, D., &amp; </w:t>
            </w:r>
            <w:proofErr w:type="spellStart"/>
            <w:r w:rsidRPr="007B092B">
              <w:rPr>
                <w:rFonts w:ascii="Segoe UI" w:hAnsi="Segoe UI" w:cs="Segoe UI"/>
                <w:sz w:val="18"/>
                <w:szCs w:val="18"/>
              </w:rPr>
              <w:t>Cabbil</w:t>
            </w:r>
            <w:proofErr w:type="spellEnd"/>
            <w:r w:rsidRPr="007B092B">
              <w:rPr>
                <w:rFonts w:ascii="Segoe UI" w:hAnsi="Segoe UI" w:cs="Segoe UI"/>
                <w:sz w:val="18"/>
                <w:szCs w:val="18"/>
              </w:rPr>
              <w:t xml:space="preserve">, L. (2011). Food Justice: What's Race Got to Do with It? </w:t>
            </w:r>
            <w:r w:rsidRPr="007B092B">
              <w:rPr>
                <w:rFonts w:ascii="Segoe UI" w:hAnsi="Segoe UI" w:cs="Segoe UI"/>
                <w:i/>
                <w:iCs/>
                <w:sz w:val="18"/>
                <w:szCs w:val="18"/>
              </w:rPr>
              <w:t>Race/Ethnicity: Multidisciplinary Global Contexts, 5</w:t>
            </w:r>
            <w:r w:rsidRPr="007B092B">
              <w:rPr>
                <w:rFonts w:ascii="Segoe UI" w:hAnsi="Segoe UI" w:cs="Segoe UI"/>
                <w:sz w:val="18"/>
                <w:szCs w:val="18"/>
              </w:rPr>
              <w:t>(1), 103-112. doi:10.2979/racethmulglocon.5.1.103.</w:t>
            </w:r>
          </w:p>
          <w:p w:rsidR="00340716" w:rsidRPr="007B092B" w:rsidRDefault="00340716"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Quijada</w:t>
            </w:r>
            <w:proofErr w:type="spellEnd"/>
            <w:r w:rsidRPr="007B092B">
              <w:rPr>
                <w:rFonts w:ascii="Segoe UI" w:hAnsi="Segoe UI" w:cs="Segoe UI"/>
                <w:sz w:val="18"/>
                <w:szCs w:val="18"/>
              </w:rPr>
              <w:t xml:space="preserve"> </w:t>
            </w:r>
            <w:proofErr w:type="spellStart"/>
            <w:r w:rsidRPr="007B092B">
              <w:rPr>
                <w:rFonts w:ascii="Segoe UI" w:hAnsi="Segoe UI" w:cs="Segoe UI"/>
                <w:sz w:val="18"/>
                <w:szCs w:val="18"/>
              </w:rPr>
              <w:t>Cerecer</w:t>
            </w:r>
            <w:proofErr w:type="spellEnd"/>
            <w:r w:rsidRPr="007B092B">
              <w:rPr>
                <w:rFonts w:ascii="Segoe UI" w:hAnsi="Segoe UI" w:cs="Segoe UI"/>
                <w:sz w:val="18"/>
                <w:szCs w:val="18"/>
              </w:rPr>
              <w:t xml:space="preserve">, P. D. (2013). The Policing of Native Bodies and Minds: Perspectives on Schooling from American Indian Youth. </w:t>
            </w:r>
            <w:r w:rsidRPr="007B092B">
              <w:rPr>
                <w:rFonts w:ascii="Segoe UI" w:hAnsi="Segoe UI" w:cs="Segoe UI"/>
                <w:i/>
                <w:iCs/>
                <w:sz w:val="18"/>
                <w:szCs w:val="18"/>
              </w:rPr>
              <w:t>American Journal of Education, 119</w:t>
            </w:r>
            <w:r w:rsidRPr="007B092B">
              <w:rPr>
                <w:rFonts w:ascii="Segoe UI" w:hAnsi="Segoe UI" w:cs="Segoe UI"/>
                <w:sz w:val="18"/>
                <w:szCs w:val="18"/>
              </w:rPr>
              <w:t xml:space="preserve">(4), 591-616. </w:t>
            </w:r>
            <w:proofErr w:type="gramStart"/>
            <w:r w:rsidRPr="007B092B">
              <w:rPr>
                <w:rFonts w:ascii="Segoe UI" w:hAnsi="Segoe UI" w:cs="Segoe UI"/>
                <w:sz w:val="18"/>
                <w:szCs w:val="18"/>
              </w:rPr>
              <w:t>doi:</w:t>
            </w:r>
            <w:proofErr w:type="gramEnd"/>
            <w:r w:rsidRPr="007B092B">
              <w:rPr>
                <w:rFonts w:ascii="Segoe UI" w:hAnsi="Segoe UI" w:cs="Segoe UI"/>
                <w:sz w:val="18"/>
                <w:szCs w:val="18"/>
              </w:rPr>
              <w:t>10.1086/670967.</w:t>
            </w:r>
          </w:p>
          <w:p w:rsidR="001B18BE" w:rsidRPr="007B092B" w:rsidRDefault="001B18BE" w:rsidP="007B092B">
            <w:pPr>
              <w:ind w:left="404" w:hanging="360"/>
              <w:rPr>
                <w:rFonts w:ascii="Segoe UI" w:hAnsi="Segoe UI" w:cs="Segoe UI"/>
                <w:sz w:val="18"/>
                <w:szCs w:val="18"/>
              </w:rPr>
            </w:pPr>
            <w:r w:rsidRPr="007B092B">
              <w:rPr>
                <w:rFonts w:ascii="Segoe UI" w:hAnsi="Segoe UI" w:cs="Segoe UI"/>
                <w:sz w:val="18"/>
                <w:szCs w:val="18"/>
              </w:rPr>
              <w:t>Recommended, not required:</w:t>
            </w:r>
          </w:p>
          <w:p w:rsidR="00340716" w:rsidRPr="007B092B" w:rsidRDefault="00340716"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Burnier</w:t>
            </w:r>
            <w:proofErr w:type="spellEnd"/>
            <w:r w:rsidRPr="007B092B">
              <w:rPr>
                <w:rFonts w:ascii="Segoe UI" w:hAnsi="Segoe UI" w:cs="Segoe UI"/>
                <w:sz w:val="18"/>
                <w:szCs w:val="18"/>
              </w:rPr>
              <w:t xml:space="preserve">, D. (2008). Frances Perkins' Disappearance from American Public Administration: A Genealogy of Marginalization. </w:t>
            </w:r>
            <w:r w:rsidRPr="007B092B">
              <w:rPr>
                <w:rFonts w:ascii="Segoe UI" w:hAnsi="Segoe UI" w:cs="Segoe UI"/>
                <w:i/>
                <w:iCs/>
                <w:sz w:val="18"/>
                <w:szCs w:val="18"/>
              </w:rPr>
              <w:t>Administrative Theory &amp; Praxis, 30</w:t>
            </w:r>
            <w:r w:rsidRPr="007B092B">
              <w:rPr>
                <w:rFonts w:ascii="Segoe UI" w:hAnsi="Segoe UI" w:cs="Segoe UI"/>
                <w:sz w:val="18"/>
                <w:szCs w:val="18"/>
              </w:rPr>
              <w:t xml:space="preserve">(4), 398-423. </w:t>
            </w:r>
          </w:p>
          <w:p w:rsidR="00075D7B" w:rsidRPr="007B092B" w:rsidRDefault="00075D7B"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Stivers</w:t>
            </w:r>
            <w:proofErr w:type="spellEnd"/>
            <w:r w:rsidRPr="007B092B">
              <w:rPr>
                <w:rFonts w:ascii="Segoe UI" w:hAnsi="Segoe UI" w:cs="Segoe UI"/>
                <w:sz w:val="18"/>
                <w:szCs w:val="18"/>
              </w:rPr>
              <w:t xml:space="preserve">, C. (1995). Settlement Women and Bureau Men: Constructing a Usable Past for Public Administration. </w:t>
            </w:r>
            <w:r w:rsidRPr="007B092B">
              <w:rPr>
                <w:rFonts w:ascii="Segoe UI" w:hAnsi="Segoe UI" w:cs="Segoe UI"/>
                <w:i/>
                <w:iCs/>
                <w:sz w:val="18"/>
                <w:szCs w:val="18"/>
              </w:rPr>
              <w:t>Public Administration Review, 55</w:t>
            </w:r>
            <w:r w:rsidRPr="007B092B">
              <w:rPr>
                <w:rFonts w:ascii="Segoe UI" w:hAnsi="Segoe UI" w:cs="Segoe UI"/>
                <w:sz w:val="18"/>
                <w:szCs w:val="18"/>
              </w:rPr>
              <w:t>(6), 522-529. doi:10.2307/3110343</w:t>
            </w:r>
          </w:p>
          <w:p w:rsidR="00340716" w:rsidRPr="007B092B" w:rsidRDefault="00340716"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Hughey</w:t>
            </w:r>
            <w:proofErr w:type="spellEnd"/>
            <w:r w:rsidRPr="007B092B">
              <w:rPr>
                <w:rFonts w:ascii="Segoe UI" w:hAnsi="Segoe UI" w:cs="Segoe UI"/>
                <w:sz w:val="18"/>
                <w:szCs w:val="18"/>
              </w:rPr>
              <w:t xml:space="preserve">, M. W. (2007). Racism </w:t>
            </w:r>
            <w:proofErr w:type="gramStart"/>
            <w:r w:rsidRPr="007B092B">
              <w:rPr>
                <w:rFonts w:ascii="Segoe UI" w:hAnsi="Segoe UI" w:cs="Segoe UI"/>
                <w:sz w:val="18"/>
                <w:szCs w:val="18"/>
              </w:rPr>
              <w:t>With</w:t>
            </w:r>
            <w:proofErr w:type="gramEnd"/>
            <w:r w:rsidRPr="007B092B">
              <w:rPr>
                <w:rFonts w:ascii="Segoe UI" w:hAnsi="Segoe UI" w:cs="Segoe UI"/>
                <w:sz w:val="18"/>
                <w:szCs w:val="18"/>
              </w:rPr>
              <w:t xml:space="preserve"> Antiracists: Color-Conscious Racism and the Unintentional Persistence of Inequality. </w:t>
            </w:r>
            <w:r w:rsidRPr="007B092B">
              <w:rPr>
                <w:rFonts w:ascii="Segoe UI" w:hAnsi="Segoe UI" w:cs="Segoe UI"/>
                <w:i/>
                <w:iCs/>
                <w:sz w:val="18"/>
                <w:szCs w:val="18"/>
              </w:rPr>
              <w:t>Social Thought &amp; Research, 28</w:t>
            </w:r>
            <w:r w:rsidRPr="007B092B">
              <w:rPr>
                <w:rFonts w:ascii="Segoe UI" w:hAnsi="Segoe UI" w:cs="Segoe UI"/>
                <w:sz w:val="18"/>
                <w:szCs w:val="18"/>
              </w:rPr>
              <w:t>, 67-108.</w:t>
            </w:r>
          </w:p>
          <w:p w:rsidR="00C921A8" w:rsidRPr="007B092B" w:rsidRDefault="00C921A8" w:rsidP="007B092B">
            <w:pPr>
              <w:pStyle w:val="ListParagraph"/>
              <w:numPr>
                <w:ilvl w:val="0"/>
                <w:numId w:val="5"/>
              </w:numPr>
              <w:shd w:val="clear" w:color="auto" w:fill="A8D08D" w:themeFill="accent6" w:themeFillTint="99"/>
              <w:ind w:left="404"/>
              <w:rPr>
                <w:rFonts w:ascii="Segoe UI" w:hAnsi="Segoe UI" w:cs="Segoe UI"/>
                <w:sz w:val="18"/>
                <w:szCs w:val="18"/>
              </w:rPr>
            </w:pPr>
            <w:proofErr w:type="spellStart"/>
            <w:r w:rsidRPr="007B092B">
              <w:rPr>
                <w:rFonts w:ascii="Segoe UI" w:hAnsi="Segoe UI" w:cs="Segoe UI"/>
                <w:sz w:val="18"/>
                <w:szCs w:val="18"/>
              </w:rPr>
              <w:t>Katznelson</w:t>
            </w:r>
            <w:proofErr w:type="spellEnd"/>
            <w:r w:rsidRPr="007B092B">
              <w:rPr>
                <w:rFonts w:ascii="Segoe UI" w:hAnsi="Segoe UI" w:cs="Segoe UI"/>
                <w:sz w:val="18"/>
                <w:szCs w:val="18"/>
              </w:rPr>
              <w:t xml:space="preserve">, I., &amp; </w:t>
            </w:r>
            <w:proofErr w:type="spellStart"/>
            <w:r w:rsidRPr="007B092B">
              <w:rPr>
                <w:rFonts w:ascii="Segoe UI" w:hAnsi="Segoe UI" w:cs="Segoe UI"/>
                <w:sz w:val="18"/>
                <w:szCs w:val="18"/>
              </w:rPr>
              <w:t>Mettler</w:t>
            </w:r>
            <w:proofErr w:type="spellEnd"/>
            <w:r w:rsidRPr="007B092B">
              <w:rPr>
                <w:rFonts w:ascii="Segoe UI" w:hAnsi="Segoe UI" w:cs="Segoe UI"/>
                <w:sz w:val="18"/>
                <w:szCs w:val="18"/>
              </w:rPr>
              <w:t xml:space="preserve">, S. (2008). On Race and Policy History: A Dialogue </w:t>
            </w:r>
            <w:r w:rsidRPr="007B092B">
              <w:rPr>
                <w:rFonts w:ascii="Segoe UI" w:hAnsi="Segoe UI" w:cs="Segoe UI"/>
                <w:sz w:val="18"/>
                <w:szCs w:val="18"/>
              </w:rPr>
              <w:lastRenderedPageBreak/>
              <w:t xml:space="preserve">about the G.I. Bill. </w:t>
            </w:r>
            <w:r w:rsidRPr="007B092B">
              <w:rPr>
                <w:rFonts w:ascii="Segoe UI" w:hAnsi="Segoe UI" w:cs="Segoe UI"/>
                <w:i/>
                <w:iCs/>
                <w:sz w:val="18"/>
                <w:szCs w:val="18"/>
              </w:rPr>
              <w:t>Perspectives on Politics, 6</w:t>
            </w:r>
            <w:r w:rsidRPr="007B092B">
              <w:rPr>
                <w:rFonts w:ascii="Segoe UI" w:hAnsi="Segoe UI" w:cs="Segoe UI"/>
                <w:sz w:val="18"/>
                <w:szCs w:val="18"/>
              </w:rPr>
              <w:t>(3), 519-537.</w:t>
            </w:r>
          </w:p>
          <w:p w:rsidR="00A22585" w:rsidRPr="007B092B" w:rsidRDefault="00A22585" w:rsidP="007B092B">
            <w:pPr>
              <w:pStyle w:val="ListParagraph"/>
              <w:numPr>
                <w:ilvl w:val="0"/>
                <w:numId w:val="5"/>
              </w:numPr>
              <w:shd w:val="clear" w:color="auto" w:fill="A8D08D" w:themeFill="accent6" w:themeFillTint="99"/>
              <w:ind w:left="404"/>
              <w:rPr>
                <w:rFonts w:ascii="Segoe UI" w:hAnsi="Segoe UI" w:cs="Segoe UI"/>
                <w:sz w:val="18"/>
                <w:szCs w:val="18"/>
              </w:rPr>
            </w:pPr>
            <w:r w:rsidRPr="007B092B">
              <w:rPr>
                <w:rFonts w:ascii="Segoe UI" w:hAnsi="Segoe UI" w:cs="Segoe UI"/>
                <w:sz w:val="18"/>
                <w:szCs w:val="18"/>
              </w:rPr>
              <w:t xml:space="preserve">Wiley, M. (2006). Overcoming Structural Racism. </w:t>
            </w:r>
            <w:r w:rsidRPr="007B092B">
              <w:rPr>
                <w:rFonts w:ascii="Segoe UI" w:hAnsi="Segoe UI" w:cs="Segoe UI"/>
                <w:i/>
                <w:iCs/>
                <w:sz w:val="18"/>
                <w:szCs w:val="18"/>
              </w:rPr>
              <w:t>Race, Poverty &amp; the Environment, 13</w:t>
            </w:r>
            <w:r w:rsidRPr="007B092B">
              <w:rPr>
                <w:rFonts w:ascii="Segoe UI" w:hAnsi="Segoe UI" w:cs="Segoe UI"/>
                <w:sz w:val="18"/>
                <w:szCs w:val="18"/>
              </w:rPr>
              <w:t>(1), 35-37.</w:t>
            </w:r>
          </w:p>
          <w:p w:rsidR="00E660FC" w:rsidRPr="007B092B" w:rsidRDefault="00E660FC" w:rsidP="007B092B">
            <w:pPr>
              <w:shd w:val="clear" w:color="auto" w:fill="A8D08D" w:themeFill="accent6" w:themeFillTint="99"/>
              <w:ind w:left="404" w:hanging="360"/>
              <w:rPr>
                <w:rFonts w:ascii="Segoe UI" w:hAnsi="Segoe UI" w:cs="Segoe UI"/>
                <w:sz w:val="18"/>
                <w:szCs w:val="18"/>
              </w:rPr>
            </w:pPr>
          </w:p>
        </w:tc>
        <w:tc>
          <w:tcPr>
            <w:tcW w:w="3268" w:type="dxa"/>
            <w:shd w:val="clear" w:color="auto" w:fill="A8D08D" w:themeFill="accent6" w:themeFillTint="99"/>
          </w:tcPr>
          <w:p w:rsidR="007B61A5" w:rsidRDefault="00F45108">
            <w:r w:rsidRPr="004A2BFF">
              <w:rPr>
                <w:b/>
                <w:color w:val="0070C0"/>
              </w:rPr>
              <w:lastRenderedPageBreak/>
              <w:t>Pick a policy area to research and present on Nov. 28</w:t>
            </w:r>
          </w:p>
        </w:tc>
      </w:tr>
      <w:tr w:rsidR="007B61A5" w:rsidTr="00EA7029">
        <w:tc>
          <w:tcPr>
            <w:tcW w:w="1150" w:type="dxa"/>
            <w:shd w:val="clear" w:color="auto" w:fill="C5E0B3" w:themeFill="accent6" w:themeFillTint="66"/>
          </w:tcPr>
          <w:p w:rsidR="007B61A5" w:rsidRDefault="007B61A5">
            <w:r>
              <w:lastRenderedPageBreak/>
              <w:t>Oct 3</w:t>
            </w:r>
          </w:p>
        </w:tc>
        <w:tc>
          <w:tcPr>
            <w:tcW w:w="1964" w:type="dxa"/>
            <w:shd w:val="clear" w:color="auto" w:fill="C5E0B3" w:themeFill="accent6" w:themeFillTint="66"/>
          </w:tcPr>
          <w:p w:rsidR="007B61A5" w:rsidRDefault="007B61A5">
            <w:r>
              <w:t>I am at IAPHS</w:t>
            </w:r>
          </w:p>
          <w:p w:rsidR="007B61A5" w:rsidRDefault="007B61A5" w:rsidP="00DE2211">
            <w:r>
              <w:br/>
              <w:t>Guest lecture</w:t>
            </w:r>
            <w:r w:rsidR="00DE2211">
              <w:t>s</w:t>
            </w:r>
            <w:r>
              <w:t xml:space="preserve"> </w:t>
            </w:r>
            <w:r w:rsidR="00DE2211">
              <w:t>by</w:t>
            </w:r>
            <w:r>
              <w:t xml:space="preserve"> </w:t>
            </w:r>
            <w:r w:rsidR="00784E30">
              <w:t>RyLee Curtis/Chris Collard</w:t>
            </w:r>
            <w:r>
              <w:t>/</w:t>
            </w:r>
            <w:r w:rsidR="00A637C5">
              <w:t>Alex Iorg</w:t>
            </w:r>
          </w:p>
        </w:tc>
        <w:tc>
          <w:tcPr>
            <w:tcW w:w="3209" w:type="dxa"/>
            <w:shd w:val="clear" w:color="auto" w:fill="C5E0B3" w:themeFill="accent6" w:themeFillTint="66"/>
          </w:tcPr>
          <w:p w:rsidR="007B61A5" w:rsidRDefault="007B61A5">
            <w:r>
              <w:t>How do you make analyses matter? How do you get good policy adopted?? Experience with evidence based policy advocacy</w:t>
            </w:r>
          </w:p>
        </w:tc>
        <w:tc>
          <w:tcPr>
            <w:tcW w:w="3904" w:type="dxa"/>
            <w:shd w:val="clear" w:color="auto" w:fill="C5E0B3" w:themeFill="accent6" w:themeFillTint="66"/>
          </w:tcPr>
          <w:p w:rsidR="007B61A5" w:rsidRPr="007B092B" w:rsidRDefault="007A7395" w:rsidP="007B092B">
            <w:pPr>
              <w:pStyle w:val="ListParagraph"/>
              <w:numPr>
                <w:ilvl w:val="0"/>
                <w:numId w:val="6"/>
              </w:numPr>
              <w:ind w:left="404"/>
              <w:rPr>
                <w:rFonts w:ascii="Segoe UI" w:hAnsi="Segoe UI" w:cs="Segoe UI"/>
                <w:sz w:val="18"/>
                <w:szCs w:val="18"/>
              </w:rPr>
            </w:pPr>
            <w:proofErr w:type="spellStart"/>
            <w:r w:rsidRPr="007B092B">
              <w:rPr>
                <w:rFonts w:ascii="Segoe UI" w:hAnsi="Segoe UI" w:cs="Segoe UI"/>
                <w:sz w:val="18"/>
                <w:szCs w:val="18"/>
              </w:rPr>
              <w:t>Soss</w:t>
            </w:r>
            <w:proofErr w:type="spellEnd"/>
            <w:r w:rsidRPr="007B092B">
              <w:rPr>
                <w:rFonts w:ascii="Segoe UI" w:hAnsi="Segoe UI" w:cs="Segoe UI"/>
                <w:sz w:val="18"/>
                <w:szCs w:val="18"/>
              </w:rPr>
              <w:t xml:space="preserve">, J., Condon, M., </w:t>
            </w:r>
            <w:proofErr w:type="spellStart"/>
            <w:r w:rsidRPr="007B092B">
              <w:rPr>
                <w:rFonts w:ascii="Segoe UI" w:hAnsi="Segoe UI" w:cs="Segoe UI"/>
                <w:sz w:val="18"/>
                <w:szCs w:val="18"/>
              </w:rPr>
              <w:t>Holleque</w:t>
            </w:r>
            <w:proofErr w:type="spellEnd"/>
            <w:r w:rsidRPr="007B092B">
              <w:rPr>
                <w:rFonts w:ascii="Segoe UI" w:hAnsi="Segoe UI" w:cs="Segoe UI"/>
                <w:sz w:val="18"/>
                <w:szCs w:val="18"/>
              </w:rPr>
              <w:t xml:space="preserve">, M., &amp; </w:t>
            </w:r>
            <w:proofErr w:type="spellStart"/>
            <w:r w:rsidRPr="007B092B">
              <w:rPr>
                <w:rFonts w:ascii="Segoe UI" w:hAnsi="Segoe UI" w:cs="Segoe UI"/>
                <w:sz w:val="18"/>
                <w:szCs w:val="18"/>
              </w:rPr>
              <w:t>Wichowsky</w:t>
            </w:r>
            <w:proofErr w:type="spellEnd"/>
            <w:r w:rsidRPr="007B092B">
              <w:rPr>
                <w:rFonts w:ascii="Segoe UI" w:hAnsi="Segoe UI" w:cs="Segoe UI"/>
                <w:sz w:val="18"/>
                <w:szCs w:val="18"/>
              </w:rPr>
              <w:t xml:space="preserve">, A. (2006). The Illusion of Technique: How Method-Driven Research Leads Welfare Scholarship Astray. </w:t>
            </w:r>
            <w:r w:rsidRPr="007B092B">
              <w:rPr>
                <w:rFonts w:ascii="Segoe UI" w:hAnsi="Segoe UI" w:cs="Segoe UI"/>
                <w:i/>
                <w:iCs/>
                <w:sz w:val="18"/>
                <w:szCs w:val="18"/>
              </w:rPr>
              <w:t>Social Science Quarterly, 87</w:t>
            </w:r>
            <w:r w:rsidRPr="007B092B">
              <w:rPr>
                <w:rFonts w:ascii="Segoe UI" w:hAnsi="Segoe UI" w:cs="Segoe UI"/>
                <w:sz w:val="18"/>
                <w:szCs w:val="18"/>
              </w:rPr>
              <w:t>(4), 798-807.</w:t>
            </w:r>
          </w:p>
        </w:tc>
        <w:tc>
          <w:tcPr>
            <w:tcW w:w="3268" w:type="dxa"/>
            <w:shd w:val="clear" w:color="auto" w:fill="C5E0B3" w:themeFill="accent6" w:themeFillTint="66"/>
          </w:tcPr>
          <w:p w:rsidR="00EB55D9" w:rsidRPr="00EB55D9" w:rsidRDefault="00EB55D9">
            <w:pPr>
              <w:rPr>
                <w:b/>
                <w:color w:val="0070C0"/>
              </w:rPr>
            </w:pPr>
            <w:r w:rsidRPr="00EB55D9">
              <w:rPr>
                <w:b/>
                <w:color w:val="0070C0"/>
              </w:rPr>
              <w:t>Strengths of Theory</w:t>
            </w:r>
          </w:p>
          <w:p w:rsidR="007B61A5" w:rsidRDefault="00E16A35">
            <w:r w:rsidRPr="00EB55D9">
              <w:rPr>
                <w:b/>
                <w:color w:val="0070C0"/>
              </w:rPr>
              <w:t>Paper due</w:t>
            </w:r>
          </w:p>
        </w:tc>
      </w:tr>
      <w:tr w:rsidR="007B61A5" w:rsidTr="00EA7029">
        <w:tc>
          <w:tcPr>
            <w:tcW w:w="1150" w:type="dxa"/>
            <w:shd w:val="clear" w:color="auto" w:fill="F7CAAC" w:themeFill="accent2" w:themeFillTint="66"/>
          </w:tcPr>
          <w:p w:rsidR="007B61A5" w:rsidRDefault="007B61A5" w:rsidP="00363EF0">
            <w:r>
              <w:t>Fall Break</w:t>
            </w:r>
          </w:p>
        </w:tc>
        <w:tc>
          <w:tcPr>
            <w:tcW w:w="1964" w:type="dxa"/>
            <w:shd w:val="clear" w:color="auto" w:fill="F7CAAC" w:themeFill="accent2" w:themeFillTint="66"/>
          </w:tcPr>
          <w:p w:rsidR="007B61A5" w:rsidRDefault="007B61A5"/>
        </w:tc>
        <w:tc>
          <w:tcPr>
            <w:tcW w:w="3209" w:type="dxa"/>
            <w:shd w:val="clear" w:color="auto" w:fill="F7CAAC" w:themeFill="accent2" w:themeFillTint="66"/>
          </w:tcPr>
          <w:p w:rsidR="007B61A5" w:rsidRDefault="007B61A5"/>
        </w:tc>
        <w:tc>
          <w:tcPr>
            <w:tcW w:w="3904" w:type="dxa"/>
            <w:shd w:val="clear" w:color="auto" w:fill="F7CAAC" w:themeFill="accent2" w:themeFillTint="66"/>
          </w:tcPr>
          <w:p w:rsidR="007B61A5" w:rsidRDefault="007B61A5"/>
        </w:tc>
        <w:tc>
          <w:tcPr>
            <w:tcW w:w="3268" w:type="dxa"/>
            <w:shd w:val="clear" w:color="auto" w:fill="F7CAAC" w:themeFill="accent2" w:themeFillTint="66"/>
          </w:tcPr>
          <w:p w:rsidR="007B61A5" w:rsidRDefault="007B61A5"/>
        </w:tc>
      </w:tr>
      <w:tr w:rsidR="007B61A5" w:rsidTr="00EA7029">
        <w:tc>
          <w:tcPr>
            <w:tcW w:w="1150" w:type="dxa"/>
          </w:tcPr>
          <w:p w:rsidR="007B61A5" w:rsidRDefault="007B61A5">
            <w:r>
              <w:t>Oct 17</w:t>
            </w:r>
          </w:p>
        </w:tc>
        <w:tc>
          <w:tcPr>
            <w:tcW w:w="1964" w:type="dxa"/>
          </w:tcPr>
          <w:p w:rsidR="007B61A5" w:rsidRDefault="007B61A5">
            <w:r>
              <w:t>Application – where rubber meet the road</w:t>
            </w:r>
          </w:p>
        </w:tc>
        <w:tc>
          <w:tcPr>
            <w:tcW w:w="3209" w:type="dxa"/>
          </w:tcPr>
          <w:p w:rsidR="007B61A5" w:rsidRDefault="007B61A5">
            <w:r>
              <w:t>How do you make analyses matter? How do you get good policy adopted??</w:t>
            </w:r>
          </w:p>
          <w:p w:rsidR="00EB55D9" w:rsidRDefault="00EB55D9">
            <w:r>
              <w:t>How do you craft an argument?</w:t>
            </w:r>
          </w:p>
          <w:p w:rsidR="00EB55D9" w:rsidRDefault="00EB55D9">
            <w:r>
              <w:t>What content do we all crave?</w:t>
            </w:r>
          </w:p>
          <w:p w:rsidR="00EB55D9" w:rsidRDefault="00EB55D9">
            <w:r>
              <w:t>How to write a policy memo</w:t>
            </w:r>
          </w:p>
          <w:p w:rsidR="00EB55D9" w:rsidRDefault="00EB55D9">
            <w:r>
              <w:t>Powerful presentations</w:t>
            </w:r>
          </w:p>
        </w:tc>
        <w:tc>
          <w:tcPr>
            <w:tcW w:w="3904" w:type="dxa"/>
          </w:tcPr>
          <w:p w:rsidR="007B61A5" w:rsidRPr="007B092B" w:rsidRDefault="00816EE9" w:rsidP="007B092B">
            <w:pPr>
              <w:pStyle w:val="ListParagraph"/>
              <w:numPr>
                <w:ilvl w:val="0"/>
                <w:numId w:val="18"/>
              </w:numPr>
              <w:ind w:left="404"/>
              <w:rPr>
                <w:rFonts w:ascii="Segoe UI" w:hAnsi="Segoe UI" w:cs="Segoe UI"/>
                <w:sz w:val="18"/>
                <w:szCs w:val="18"/>
              </w:rPr>
            </w:pPr>
            <w:r w:rsidRPr="007B092B">
              <w:rPr>
                <w:rFonts w:ascii="Segoe UI" w:hAnsi="Segoe UI" w:cs="Segoe UI"/>
                <w:sz w:val="18"/>
                <w:szCs w:val="18"/>
              </w:rPr>
              <w:t>How to craft an argument, Dunn chapter</w:t>
            </w:r>
          </w:p>
          <w:p w:rsidR="00816EE9" w:rsidRPr="007B092B" w:rsidRDefault="00816EE9" w:rsidP="007B092B">
            <w:pPr>
              <w:pStyle w:val="ListParagraph"/>
              <w:numPr>
                <w:ilvl w:val="0"/>
                <w:numId w:val="18"/>
              </w:numPr>
              <w:ind w:left="404"/>
              <w:rPr>
                <w:rFonts w:ascii="Segoe UI" w:hAnsi="Segoe UI" w:cs="Segoe UI"/>
                <w:sz w:val="18"/>
                <w:szCs w:val="18"/>
              </w:rPr>
            </w:pPr>
            <w:r w:rsidRPr="007B092B">
              <w:rPr>
                <w:rFonts w:ascii="Segoe UI" w:hAnsi="Segoe UI" w:cs="Segoe UI"/>
                <w:sz w:val="18"/>
                <w:szCs w:val="18"/>
              </w:rPr>
              <w:t xml:space="preserve">Pic </w:t>
            </w:r>
            <w:r w:rsidR="007D3390" w:rsidRPr="007B092B">
              <w:rPr>
                <w:rFonts w:ascii="Segoe UI" w:hAnsi="Segoe UI" w:cs="Segoe UI"/>
                <w:sz w:val="18"/>
                <w:szCs w:val="18"/>
              </w:rPr>
              <w:t>of content we crave from Spring into Writing Workshop</w:t>
            </w:r>
          </w:p>
          <w:p w:rsidR="007D3390" w:rsidRPr="007B092B" w:rsidRDefault="007D3390" w:rsidP="007B092B">
            <w:pPr>
              <w:pStyle w:val="ListParagraph"/>
              <w:numPr>
                <w:ilvl w:val="0"/>
                <w:numId w:val="18"/>
              </w:numPr>
              <w:ind w:left="404"/>
              <w:rPr>
                <w:rFonts w:ascii="Segoe UI" w:hAnsi="Segoe UI" w:cs="Segoe UI"/>
                <w:sz w:val="18"/>
                <w:szCs w:val="18"/>
              </w:rPr>
            </w:pPr>
            <w:r w:rsidRPr="007B092B">
              <w:rPr>
                <w:rFonts w:ascii="Segoe UI" w:hAnsi="Segoe UI" w:cs="Segoe UI"/>
                <w:sz w:val="18"/>
                <w:szCs w:val="18"/>
              </w:rPr>
              <w:t>Presentation materials – PowerPoint templates and Jonathan Schwabish stuff</w:t>
            </w:r>
          </w:p>
          <w:p w:rsidR="00A25CA3" w:rsidRPr="007B092B" w:rsidRDefault="00A25CA3" w:rsidP="007B092B">
            <w:pPr>
              <w:pStyle w:val="ListParagraph"/>
              <w:numPr>
                <w:ilvl w:val="0"/>
                <w:numId w:val="18"/>
              </w:numPr>
              <w:ind w:left="404"/>
              <w:rPr>
                <w:rFonts w:ascii="Segoe UI" w:hAnsi="Segoe UI" w:cs="Segoe UI"/>
                <w:sz w:val="18"/>
                <w:szCs w:val="18"/>
              </w:rPr>
            </w:pPr>
            <w:proofErr w:type="spellStart"/>
            <w:r w:rsidRPr="007B092B">
              <w:rPr>
                <w:rFonts w:ascii="Segoe UI" w:hAnsi="Segoe UI" w:cs="Segoe UI"/>
                <w:sz w:val="18"/>
                <w:szCs w:val="18"/>
              </w:rPr>
              <w:t>Weible</w:t>
            </w:r>
            <w:proofErr w:type="spellEnd"/>
            <w:r w:rsidRPr="007B092B">
              <w:rPr>
                <w:rFonts w:ascii="Segoe UI" w:hAnsi="Segoe UI" w:cs="Segoe UI"/>
                <w:sz w:val="18"/>
                <w:szCs w:val="18"/>
              </w:rPr>
              <w:t xml:space="preserve">, Christopher M., Tanya </w:t>
            </w:r>
            <w:proofErr w:type="spellStart"/>
            <w:r w:rsidRPr="007B092B">
              <w:rPr>
                <w:rFonts w:ascii="Segoe UI" w:hAnsi="Segoe UI" w:cs="Segoe UI"/>
                <w:sz w:val="18"/>
                <w:szCs w:val="18"/>
              </w:rPr>
              <w:t>Heikkila</w:t>
            </w:r>
            <w:proofErr w:type="spellEnd"/>
            <w:r w:rsidRPr="007B092B">
              <w:rPr>
                <w:rFonts w:ascii="Segoe UI" w:hAnsi="Segoe UI" w:cs="Segoe UI"/>
                <w:sz w:val="18"/>
                <w:szCs w:val="18"/>
              </w:rPr>
              <w:t xml:space="preserve">, Peter </w:t>
            </w:r>
            <w:proofErr w:type="spellStart"/>
            <w:r w:rsidRPr="007B092B">
              <w:rPr>
                <w:rFonts w:ascii="Segoe UI" w:hAnsi="Segoe UI" w:cs="Segoe UI"/>
                <w:sz w:val="18"/>
                <w:szCs w:val="18"/>
              </w:rPr>
              <w:t>deLeon</w:t>
            </w:r>
            <w:proofErr w:type="spellEnd"/>
            <w:r w:rsidRPr="007B092B">
              <w:rPr>
                <w:rFonts w:ascii="Segoe UI" w:hAnsi="Segoe UI" w:cs="Segoe UI"/>
                <w:sz w:val="18"/>
                <w:szCs w:val="18"/>
              </w:rPr>
              <w:t xml:space="preserve">, and Paul A. Sabatier. 2012. “Understanding and Influencing the Policy Process.” </w:t>
            </w:r>
            <w:r w:rsidRPr="007B092B">
              <w:rPr>
                <w:rFonts w:ascii="Segoe UI" w:hAnsi="Segoe UI" w:cs="Segoe UI"/>
                <w:i/>
                <w:sz w:val="18"/>
                <w:szCs w:val="18"/>
              </w:rPr>
              <w:t>Policy Sciences.</w:t>
            </w:r>
            <w:r w:rsidR="007B092B">
              <w:rPr>
                <w:rFonts w:ascii="Segoe UI" w:hAnsi="Segoe UI" w:cs="Segoe UI"/>
                <w:sz w:val="18"/>
                <w:szCs w:val="18"/>
              </w:rPr>
              <w:t xml:space="preserve"> 45(1):1-21.</w:t>
            </w:r>
          </w:p>
        </w:tc>
        <w:tc>
          <w:tcPr>
            <w:tcW w:w="3268" w:type="dxa"/>
          </w:tcPr>
          <w:p w:rsidR="007B61A5" w:rsidRDefault="007B61A5"/>
        </w:tc>
      </w:tr>
      <w:tr w:rsidR="007B61A5" w:rsidTr="005F40D5">
        <w:tc>
          <w:tcPr>
            <w:tcW w:w="1150" w:type="dxa"/>
            <w:shd w:val="clear" w:color="auto" w:fill="C5E0B3" w:themeFill="accent6" w:themeFillTint="66"/>
          </w:tcPr>
          <w:p w:rsidR="007B61A5" w:rsidRDefault="007B61A5">
            <w:r>
              <w:t>Oct 24</w:t>
            </w:r>
          </w:p>
        </w:tc>
        <w:tc>
          <w:tcPr>
            <w:tcW w:w="1964" w:type="dxa"/>
            <w:shd w:val="clear" w:color="auto" w:fill="C5E0B3" w:themeFill="accent6" w:themeFillTint="66"/>
          </w:tcPr>
          <w:p w:rsidR="00DE2211" w:rsidRPr="00DE2211" w:rsidRDefault="00DE2211" w:rsidP="00DE2211">
            <w:r w:rsidRPr="00DE2211">
              <w:t>I am in Minnesota</w:t>
            </w:r>
          </w:p>
          <w:p w:rsidR="00DE2211" w:rsidRPr="005F40D5" w:rsidRDefault="00DE2211" w:rsidP="00DE2211">
            <w:pPr>
              <w:rPr>
                <w:sz w:val="20"/>
              </w:rPr>
            </w:pPr>
          </w:p>
          <w:p w:rsidR="007B61A5" w:rsidRDefault="007B61A5" w:rsidP="004C76B9">
            <w:r>
              <w:t>Decision-making exploded: Irrational organizations and organizational man</w:t>
            </w:r>
          </w:p>
          <w:p w:rsidR="00DE2211" w:rsidRDefault="00DE2211" w:rsidP="004C76B9"/>
          <w:p w:rsidR="00BB7973" w:rsidRDefault="00BB7973" w:rsidP="004C76B9">
            <w:r>
              <w:t xml:space="preserve">Steve Ott will </w:t>
            </w:r>
            <w:r w:rsidR="00DE2211">
              <w:t>guest teach</w:t>
            </w:r>
          </w:p>
        </w:tc>
        <w:tc>
          <w:tcPr>
            <w:tcW w:w="3209" w:type="dxa"/>
            <w:shd w:val="clear" w:color="auto" w:fill="C5E0B3" w:themeFill="accent6" w:themeFillTint="66"/>
          </w:tcPr>
          <w:p w:rsidR="00E16A35" w:rsidRDefault="007B61A5">
            <w:r>
              <w:t xml:space="preserve">The Limits of Rational Organizations </w:t>
            </w:r>
          </w:p>
          <w:p w:rsidR="00E16A35" w:rsidRDefault="00E16A35">
            <w:r>
              <w:t>Organizational l</w:t>
            </w:r>
            <w:r w:rsidR="007B61A5">
              <w:t xml:space="preserve">earning theory </w:t>
            </w:r>
          </w:p>
          <w:p w:rsidR="00E16A35" w:rsidRDefault="007B61A5" w:rsidP="00E16A35">
            <w:r>
              <w:t xml:space="preserve">Formal and Informal Organizations </w:t>
            </w:r>
          </w:p>
          <w:p w:rsidR="007B61A5" w:rsidRDefault="007B61A5" w:rsidP="00E16A35">
            <w:r>
              <w:t>T</w:t>
            </w:r>
            <w:r w:rsidR="00E16A35">
              <w:t>heory X and Theory Y</w:t>
            </w:r>
          </w:p>
        </w:tc>
        <w:tc>
          <w:tcPr>
            <w:tcW w:w="3904" w:type="dxa"/>
            <w:shd w:val="clear" w:color="auto" w:fill="C5E0B3" w:themeFill="accent6" w:themeFillTint="66"/>
          </w:tcPr>
          <w:p w:rsidR="00F45108" w:rsidRPr="007B092B" w:rsidRDefault="00F45108" w:rsidP="007B092B">
            <w:pPr>
              <w:pStyle w:val="ListParagraph"/>
              <w:numPr>
                <w:ilvl w:val="0"/>
                <w:numId w:val="15"/>
              </w:numPr>
              <w:ind w:left="224" w:hanging="270"/>
              <w:rPr>
                <w:rFonts w:ascii="Segoe UI" w:hAnsi="Segoe UI" w:cs="Segoe UI"/>
                <w:sz w:val="18"/>
                <w:szCs w:val="18"/>
              </w:rPr>
            </w:pPr>
            <w:r w:rsidRPr="007B092B">
              <w:rPr>
                <w:rFonts w:ascii="Segoe UI" w:hAnsi="Segoe UI" w:cs="Segoe UI"/>
                <w:sz w:val="18"/>
                <w:szCs w:val="18"/>
              </w:rPr>
              <w:t xml:space="preserve">March, J. G. (1987). Ambiguity and Accounting: The Elusive Link </w:t>
            </w:r>
            <w:proofErr w:type="gramStart"/>
            <w:r w:rsidRPr="007B092B">
              <w:rPr>
                <w:rFonts w:ascii="Segoe UI" w:hAnsi="Segoe UI" w:cs="Segoe UI"/>
                <w:sz w:val="18"/>
                <w:szCs w:val="18"/>
              </w:rPr>
              <w:t>Between</w:t>
            </w:r>
            <w:proofErr w:type="gramEnd"/>
            <w:r w:rsidRPr="007B092B">
              <w:rPr>
                <w:rFonts w:ascii="Segoe UI" w:hAnsi="Segoe UI" w:cs="Segoe UI"/>
                <w:sz w:val="18"/>
                <w:szCs w:val="18"/>
              </w:rPr>
              <w:t xml:space="preserve"> Information and Decision Making. </w:t>
            </w:r>
            <w:r w:rsidRPr="007B092B">
              <w:rPr>
                <w:rFonts w:ascii="Segoe UI" w:hAnsi="Segoe UI" w:cs="Segoe UI"/>
                <w:i/>
                <w:iCs/>
                <w:sz w:val="18"/>
                <w:szCs w:val="18"/>
              </w:rPr>
              <w:t>Accounting Organizations and Society, 12</w:t>
            </w:r>
            <w:r w:rsidRPr="007B092B">
              <w:rPr>
                <w:rFonts w:ascii="Segoe UI" w:hAnsi="Segoe UI" w:cs="Segoe UI"/>
                <w:sz w:val="18"/>
                <w:szCs w:val="18"/>
              </w:rPr>
              <w:t xml:space="preserve">(2), 153-168. </w:t>
            </w:r>
          </w:p>
          <w:p w:rsidR="00E16A35" w:rsidRPr="007B092B" w:rsidRDefault="00E16A35" w:rsidP="007B092B">
            <w:pPr>
              <w:pStyle w:val="ListParagraph"/>
              <w:numPr>
                <w:ilvl w:val="0"/>
                <w:numId w:val="15"/>
              </w:numPr>
              <w:ind w:left="224" w:hanging="270"/>
              <w:rPr>
                <w:rFonts w:ascii="Segoe UI" w:hAnsi="Segoe UI" w:cs="Segoe UI"/>
                <w:sz w:val="18"/>
                <w:szCs w:val="18"/>
              </w:rPr>
            </w:pPr>
            <w:r w:rsidRPr="007B092B">
              <w:rPr>
                <w:rFonts w:ascii="Segoe UI" w:hAnsi="Segoe UI" w:cs="Segoe UI"/>
                <w:sz w:val="18"/>
                <w:szCs w:val="18"/>
              </w:rPr>
              <w:t>Learning theory (</w:t>
            </w:r>
            <w:r w:rsidR="004A2BFF" w:rsidRPr="007B092B">
              <w:rPr>
                <w:rFonts w:ascii="Segoe UI" w:hAnsi="Segoe UI" w:cs="Segoe UI"/>
                <w:sz w:val="18"/>
                <w:szCs w:val="18"/>
              </w:rPr>
              <w:t xml:space="preserve">C. </w:t>
            </w:r>
            <w:proofErr w:type="spellStart"/>
            <w:r w:rsidRPr="007B092B">
              <w:rPr>
                <w:rFonts w:ascii="Segoe UI" w:hAnsi="Segoe UI" w:cs="Segoe UI"/>
                <w:sz w:val="18"/>
                <w:szCs w:val="18"/>
              </w:rPr>
              <w:t>Argyris</w:t>
            </w:r>
            <w:proofErr w:type="spellEnd"/>
            <w:r w:rsidRPr="007B092B">
              <w:rPr>
                <w:rFonts w:ascii="Segoe UI" w:hAnsi="Segoe UI" w:cs="Segoe UI"/>
                <w:sz w:val="18"/>
                <w:szCs w:val="18"/>
              </w:rPr>
              <w:t>)</w:t>
            </w:r>
          </w:p>
          <w:p w:rsidR="00E16A35" w:rsidRPr="007B092B" w:rsidRDefault="00E16A35" w:rsidP="007B092B">
            <w:pPr>
              <w:pStyle w:val="ListParagraph"/>
              <w:numPr>
                <w:ilvl w:val="0"/>
                <w:numId w:val="15"/>
              </w:numPr>
              <w:ind w:left="224" w:hanging="270"/>
              <w:rPr>
                <w:rFonts w:ascii="Segoe UI" w:hAnsi="Segoe UI" w:cs="Segoe UI"/>
                <w:sz w:val="18"/>
                <w:szCs w:val="18"/>
              </w:rPr>
            </w:pPr>
            <w:r w:rsidRPr="007B092B">
              <w:rPr>
                <w:rFonts w:ascii="Segoe UI" w:hAnsi="Segoe UI" w:cs="Segoe UI"/>
                <w:sz w:val="18"/>
                <w:szCs w:val="18"/>
              </w:rPr>
              <w:t>Fo</w:t>
            </w:r>
            <w:r w:rsidR="004A2BFF" w:rsidRPr="007B092B">
              <w:rPr>
                <w:rFonts w:ascii="Segoe UI" w:hAnsi="Segoe UI" w:cs="Segoe UI"/>
                <w:sz w:val="18"/>
                <w:szCs w:val="18"/>
              </w:rPr>
              <w:t>rmal and Informal Organizations</w:t>
            </w:r>
            <w:r w:rsidRPr="007B092B">
              <w:rPr>
                <w:rFonts w:ascii="Segoe UI" w:hAnsi="Segoe UI" w:cs="Segoe UI"/>
                <w:sz w:val="18"/>
                <w:szCs w:val="18"/>
              </w:rPr>
              <w:t xml:space="preserve"> (C. Barnard)</w:t>
            </w:r>
          </w:p>
          <w:p w:rsidR="007B61A5" w:rsidRPr="007B092B" w:rsidRDefault="00E16A35" w:rsidP="007B092B">
            <w:pPr>
              <w:pStyle w:val="ListParagraph"/>
              <w:numPr>
                <w:ilvl w:val="0"/>
                <w:numId w:val="15"/>
              </w:numPr>
              <w:ind w:left="224" w:hanging="270"/>
              <w:rPr>
                <w:rFonts w:ascii="Segoe UI" w:hAnsi="Segoe UI" w:cs="Segoe UI"/>
                <w:sz w:val="18"/>
                <w:szCs w:val="18"/>
              </w:rPr>
            </w:pPr>
            <w:r w:rsidRPr="007B092B">
              <w:rPr>
                <w:rFonts w:ascii="Segoe UI" w:hAnsi="Segoe UI" w:cs="Segoe UI"/>
                <w:sz w:val="18"/>
                <w:szCs w:val="18"/>
              </w:rPr>
              <w:t>Theory X and Theory Y (</w:t>
            </w:r>
            <w:proofErr w:type="spellStart"/>
            <w:r w:rsidRPr="007B092B">
              <w:rPr>
                <w:rFonts w:ascii="Segoe UI" w:hAnsi="Segoe UI" w:cs="Segoe UI"/>
                <w:sz w:val="18"/>
                <w:szCs w:val="18"/>
              </w:rPr>
              <w:t>McGreggor</w:t>
            </w:r>
            <w:proofErr w:type="spellEnd"/>
            <w:r w:rsidRPr="007B092B">
              <w:rPr>
                <w:rFonts w:ascii="Segoe UI" w:hAnsi="Segoe UI" w:cs="Segoe UI"/>
                <w:sz w:val="18"/>
                <w:szCs w:val="18"/>
              </w:rPr>
              <w:t>)</w:t>
            </w:r>
          </w:p>
        </w:tc>
        <w:tc>
          <w:tcPr>
            <w:tcW w:w="3268" w:type="dxa"/>
            <w:shd w:val="clear" w:color="auto" w:fill="C5E0B3" w:themeFill="accent6" w:themeFillTint="66"/>
          </w:tcPr>
          <w:p w:rsidR="007B61A5" w:rsidRPr="004A2BFF" w:rsidRDefault="007B61A5" w:rsidP="004A2BFF">
            <w:pPr>
              <w:rPr>
                <w:b/>
              </w:rPr>
            </w:pPr>
            <w:bookmarkStart w:id="0" w:name="_GoBack"/>
            <w:bookmarkEnd w:id="0"/>
          </w:p>
        </w:tc>
      </w:tr>
      <w:tr w:rsidR="00E16A35" w:rsidTr="00EA7029">
        <w:tc>
          <w:tcPr>
            <w:tcW w:w="1150" w:type="dxa"/>
          </w:tcPr>
          <w:p w:rsidR="00E16A35" w:rsidRDefault="00E16A35" w:rsidP="00E16A35">
            <w:r>
              <w:t>Oct 31</w:t>
            </w:r>
          </w:p>
        </w:tc>
        <w:tc>
          <w:tcPr>
            <w:tcW w:w="1964" w:type="dxa"/>
          </w:tcPr>
          <w:p w:rsidR="00DE2211" w:rsidRDefault="00DE2211" w:rsidP="00E16A35">
            <w:r>
              <w:t>(Halloween)</w:t>
            </w:r>
          </w:p>
          <w:p w:rsidR="00DE2211" w:rsidRDefault="00DE2211" w:rsidP="00E16A35"/>
          <w:p w:rsidR="00E16A35" w:rsidRDefault="00E16A35" w:rsidP="00E16A35">
            <w:r>
              <w:t>Application: Health</w:t>
            </w:r>
          </w:p>
          <w:p w:rsidR="00FA6AAA" w:rsidRDefault="00FA6AAA" w:rsidP="00E16A35"/>
        </w:tc>
        <w:tc>
          <w:tcPr>
            <w:tcW w:w="3209" w:type="dxa"/>
          </w:tcPr>
          <w:p w:rsidR="00B62981" w:rsidRDefault="00E16A35" w:rsidP="00E16A35">
            <w:r>
              <w:t>DHHS and House’s Beyond Obama Care</w:t>
            </w:r>
          </w:p>
          <w:p w:rsidR="00E16A35" w:rsidRPr="006C695E" w:rsidRDefault="00B62981" w:rsidP="00E16A35">
            <w:pPr>
              <w:rPr>
                <w:color w:val="00B050"/>
              </w:rPr>
            </w:pPr>
            <w:r w:rsidRPr="00B62981">
              <w:rPr>
                <w:shd w:val="clear" w:color="auto" w:fill="FFE599" w:themeFill="accent4" w:themeFillTint="66"/>
              </w:rPr>
              <w:t xml:space="preserve">Maybe have Alex Iorg from the Patients Advocacy Coalition </w:t>
            </w:r>
            <w:r w:rsidRPr="00B62981">
              <w:rPr>
                <w:shd w:val="clear" w:color="auto" w:fill="FFE599" w:themeFill="accent4" w:themeFillTint="66"/>
              </w:rPr>
              <w:lastRenderedPageBreak/>
              <w:t>come and talk about advocacy work for patients (medical marijuana)</w:t>
            </w:r>
            <w:r w:rsidR="006C695E">
              <w:br/>
            </w:r>
            <w:r w:rsidR="006C695E" w:rsidRPr="006C695E">
              <w:rPr>
                <w:color w:val="00B050"/>
              </w:rPr>
              <w:t>Example of theory application:</w:t>
            </w:r>
          </w:p>
          <w:p w:rsidR="006C695E" w:rsidRDefault="006C695E" w:rsidP="00E16A35">
            <w:r w:rsidRPr="006C695E">
              <w:rPr>
                <w:color w:val="00B050"/>
              </w:rPr>
              <w:t>Critical theory</w:t>
            </w:r>
          </w:p>
        </w:tc>
        <w:tc>
          <w:tcPr>
            <w:tcW w:w="3904" w:type="dxa"/>
          </w:tcPr>
          <w:p w:rsidR="00E16A35" w:rsidRPr="007B092B" w:rsidRDefault="007D3390" w:rsidP="007B092B">
            <w:pPr>
              <w:pStyle w:val="ListParagraph"/>
              <w:numPr>
                <w:ilvl w:val="0"/>
                <w:numId w:val="7"/>
              </w:numPr>
              <w:ind w:left="224" w:hanging="270"/>
              <w:rPr>
                <w:rFonts w:ascii="Segoe UI" w:hAnsi="Segoe UI" w:cs="Segoe UI"/>
                <w:sz w:val="18"/>
                <w:szCs w:val="18"/>
              </w:rPr>
            </w:pPr>
            <w:r w:rsidRPr="007B092B">
              <w:rPr>
                <w:rFonts w:ascii="Segoe UI" w:hAnsi="Segoe UI" w:cs="Segoe UI"/>
                <w:sz w:val="18"/>
                <w:szCs w:val="18"/>
              </w:rPr>
              <w:lastRenderedPageBreak/>
              <w:t>Chapters from House book</w:t>
            </w:r>
          </w:p>
          <w:p w:rsidR="007D3390" w:rsidRPr="007B092B" w:rsidRDefault="007D3390" w:rsidP="007B092B">
            <w:pPr>
              <w:pStyle w:val="ListParagraph"/>
              <w:numPr>
                <w:ilvl w:val="0"/>
                <w:numId w:val="7"/>
              </w:numPr>
              <w:ind w:left="224" w:hanging="270"/>
              <w:rPr>
                <w:rFonts w:ascii="Segoe UI" w:hAnsi="Segoe UI" w:cs="Segoe UI"/>
                <w:sz w:val="18"/>
                <w:szCs w:val="18"/>
              </w:rPr>
            </w:pPr>
            <w:r w:rsidRPr="007B092B">
              <w:rPr>
                <w:rFonts w:ascii="Segoe UI" w:hAnsi="Segoe UI" w:cs="Segoe UI"/>
                <w:sz w:val="18"/>
                <w:szCs w:val="18"/>
              </w:rPr>
              <w:t>Things from the Lancet?</w:t>
            </w:r>
          </w:p>
          <w:p w:rsidR="000853BA" w:rsidRPr="007B092B" w:rsidRDefault="000853BA" w:rsidP="007B092B">
            <w:pPr>
              <w:pStyle w:val="ListParagraph"/>
              <w:numPr>
                <w:ilvl w:val="0"/>
                <w:numId w:val="7"/>
              </w:numPr>
              <w:ind w:left="224" w:hanging="270"/>
              <w:rPr>
                <w:rFonts w:ascii="Segoe UI" w:hAnsi="Segoe UI" w:cs="Segoe UI"/>
                <w:sz w:val="18"/>
                <w:szCs w:val="18"/>
              </w:rPr>
            </w:pPr>
            <w:proofErr w:type="spellStart"/>
            <w:r w:rsidRPr="007B092B">
              <w:rPr>
                <w:rFonts w:ascii="Segoe UI" w:hAnsi="Segoe UI" w:cs="Segoe UI"/>
                <w:sz w:val="18"/>
                <w:szCs w:val="18"/>
              </w:rPr>
              <w:t>Lavertu</w:t>
            </w:r>
            <w:proofErr w:type="spellEnd"/>
            <w:r w:rsidRPr="007B092B">
              <w:rPr>
                <w:rFonts w:ascii="Segoe UI" w:hAnsi="Segoe UI" w:cs="Segoe UI"/>
                <w:sz w:val="18"/>
                <w:szCs w:val="18"/>
              </w:rPr>
              <w:t>, S</w:t>
            </w:r>
            <w:r w:rsidR="006C3A4B" w:rsidRPr="007B092B">
              <w:rPr>
                <w:rFonts w:ascii="Segoe UI" w:hAnsi="Segoe UI" w:cs="Segoe UI"/>
                <w:sz w:val="18"/>
                <w:szCs w:val="18"/>
              </w:rPr>
              <w:t>te</w:t>
            </w:r>
            <w:r w:rsidRPr="007B092B">
              <w:rPr>
                <w:rFonts w:ascii="Segoe UI" w:hAnsi="Segoe UI" w:cs="Segoe UI"/>
                <w:sz w:val="18"/>
                <w:szCs w:val="18"/>
              </w:rPr>
              <w:t xml:space="preserve">phane, Walters, D. E., &amp; Weimer, D. L. (2012). Scientific Expertise </w:t>
            </w:r>
            <w:r w:rsidRPr="007B092B">
              <w:rPr>
                <w:rFonts w:ascii="Segoe UI" w:hAnsi="Segoe UI" w:cs="Segoe UI"/>
                <w:sz w:val="18"/>
                <w:szCs w:val="18"/>
              </w:rPr>
              <w:lastRenderedPageBreak/>
              <w:t xml:space="preserve">and the Balance of Political Interests: MEDCAC and Medicare Coverage Decisions. </w:t>
            </w:r>
            <w:r w:rsidRPr="007B092B">
              <w:rPr>
                <w:rFonts w:ascii="Segoe UI" w:hAnsi="Segoe UI" w:cs="Segoe UI"/>
                <w:i/>
                <w:iCs/>
                <w:sz w:val="18"/>
                <w:szCs w:val="18"/>
              </w:rPr>
              <w:t>Journal of Public Administration Research and Theory: J-PART, 22</w:t>
            </w:r>
            <w:r w:rsidRPr="007B092B">
              <w:rPr>
                <w:rFonts w:ascii="Segoe UI" w:hAnsi="Segoe UI" w:cs="Segoe UI"/>
                <w:sz w:val="18"/>
                <w:szCs w:val="18"/>
              </w:rPr>
              <w:t xml:space="preserve">(1), 55-81. </w:t>
            </w:r>
          </w:p>
          <w:p w:rsidR="00C921A8" w:rsidRPr="007B092B" w:rsidRDefault="00C921A8" w:rsidP="007B092B">
            <w:pPr>
              <w:pStyle w:val="ListParagraph"/>
              <w:numPr>
                <w:ilvl w:val="0"/>
                <w:numId w:val="7"/>
              </w:numPr>
              <w:ind w:left="224" w:hanging="270"/>
              <w:rPr>
                <w:rFonts w:ascii="Segoe UI" w:hAnsi="Segoe UI" w:cs="Segoe UI"/>
                <w:sz w:val="18"/>
                <w:szCs w:val="18"/>
              </w:rPr>
            </w:pPr>
            <w:r w:rsidRPr="007B092B">
              <w:rPr>
                <w:rFonts w:ascii="Segoe UI" w:hAnsi="Segoe UI" w:cs="Segoe UI"/>
                <w:sz w:val="18"/>
                <w:szCs w:val="18"/>
              </w:rPr>
              <w:t>Holt-</w:t>
            </w:r>
            <w:proofErr w:type="spellStart"/>
            <w:r w:rsidRPr="007B092B">
              <w:rPr>
                <w:rFonts w:ascii="Segoe UI" w:hAnsi="Segoe UI" w:cs="Segoe UI"/>
                <w:sz w:val="18"/>
                <w:szCs w:val="18"/>
              </w:rPr>
              <w:t>Giméénez</w:t>
            </w:r>
            <w:proofErr w:type="spellEnd"/>
            <w:r w:rsidRPr="007B092B">
              <w:rPr>
                <w:rFonts w:ascii="Segoe UI" w:hAnsi="Segoe UI" w:cs="Segoe UI"/>
                <w:sz w:val="18"/>
                <w:szCs w:val="18"/>
              </w:rPr>
              <w:t xml:space="preserve">, E., &amp; Wang, Y. (2011). Reform or Transformation? The Pivotal Role of Food Justice in the U.S. Food Movement. </w:t>
            </w:r>
            <w:r w:rsidRPr="007B092B">
              <w:rPr>
                <w:rFonts w:ascii="Segoe UI" w:hAnsi="Segoe UI" w:cs="Segoe UI"/>
                <w:i/>
                <w:iCs/>
                <w:sz w:val="18"/>
                <w:szCs w:val="18"/>
              </w:rPr>
              <w:t>Race/Ethnicity: Multidisciplinary Global Contexts, 5</w:t>
            </w:r>
            <w:r w:rsidRPr="007B092B">
              <w:rPr>
                <w:rFonts w:ascii="Segoe UI" w:hAnsi="Segoe UI" w:cs="Segoe UI"/>
                <w:sz w:val="18"/>
                <w:szCs w:val="18"/>
              </w:rPr>
              <w:t>(1), 83-102. doi:10.2979/racethmulglocon.5.1.83.</w:t>
            </w:r>
          </w:p>
        </w:tc>
        <w:tc>
          <w:tcPr>
            <w:tcW w:w="3268" w:type="dxa"/>
          </w:tcPr>
          <w:p w:rsidR="00E16A35" w:rsidRDefault="00E16A35" w:rsidP="00E16A35"/>
        </w:tc>
      </w:tr>
      <w:tr w:rsidR="00E16A35" w:rsidTr="00DE2211">
        <w:tc>
          <w:tcPr>
            <w:tcW w:w="1150" w:type="dxa"/>
          </w:tcPr>
          <w:p w:rsidR="00E16A35" w:rsidRDefault="00E16A35" w:rsidP="00E16A35">
            <w:r>
              <w:lastRenderedPageBreak/>
              <w:t>Nov 7</w:t>
            </w:r>
          </w:p>
        </w:tc>
        <w:tc>
          <w:tcPr>
            <w:tcW w:w="1964" w:type="dxa"/>
          </w:tcPr>
          <w:p w:rsidR="00E16A35" w:rsidRDefault="00E16A35" w:rsidP="00E16A35">
            <w:r>
              <w:t>Application: Poverty</w:t>
            </w:r>
          </w:p>
        </w:tc>
        <w:tc>
          <w:tcPr>
            <w:tcW w:w="3209" w:type="dxa"/>
          </w:tcPr>
          <w:p w:rsidR="00E16A35" w:rsidRDefault="00E16A35" w:rsidP="00E16A35">
            <w:proofErr w:type="spellStart"/>
            <w:r>
              <w:t>DoL</w:t>
            </w:r>
            <w:proofErr w:type="spellEnd"/>
            <w:r>
              <w:t xml:space="preserve"> and the evolution of minimum wage</w:t>
            </w:r>
          </w:p>
          <w:p w:rsidR="00E16A35" w:rsidRDefault="00E16A35" w:rsidP="00E16A35">
            <w:proofErr w:type="spellStart"/>
            <w:r>
              <w:t>Freakanomics</w:t>
            </w:r>
            <w:proofErr w:type="spellEnd"/>
          </w:p>
          <w:p w:rsidR="00E16A35" w:rsidRDefault="00E16A35" w:rsidP="00E16A35">
            <w:r>
              <w:t>If economists ran the world</w:t>
            </w:r>
          </w:p>
          <w:p w:rsidR="00E16A35" w:rsidRDefault="00E16A35" w:rsidP="00E16A35">
            <w:r>
              <w:t>Universal salary</w:t>
            </w:r>
          </w:p>
          <w:p w:rsidR="004B4165" w:rsidRDefault="004B4165" w:rsidP="00E16A35">
            <w:r w:rsidRPr="006C695E">
              <w:rPr>
                <w:color w:val="00B050"/>
              </w:rPr>
              <w:t>Example of theory application: Social construction of target populations</w:t>
            </w:r>
          </w:p>
        </w:tc>
        <w:tc>
          <w:tcPr>
            <w:tcW w:w="3904" w:type="dxa"/>
            <w:shd w:val="clear" w:color="auto" w:fill="auto"/>
          </w:tcPr>
          <w:p w:rsidR="00E16A35" w:rsidRPr="007B092B" w:rsidRDefault="007D3390" w:rsidP="007B092B">
            <w:pPr>
              <w:pStyle w:val="ListParagraph"/>
              <w:numPr>
                <w:ilvl w:val="0"/>
                <w:numId w:val="8"/>
              </w:numPr>
              <w:ind w:left="224" w:hanging="270"/>
              <w:rPr>
                <w:rFonts w:ascii="Segoe UI" w:hAnsi="Segoe UI" w:cs="Segoe UI"/>
                <w:sz w:val="18"/>
                <w:szCs w:val="18"/>
              </w:rPr>
            </w:pPr>
            <w:proofErr w:type="spellStart"/>
            <w:r w:rsidRPr="007B092B">
              <w:rPr>
                <w:rFonts w:ascii="Segoe UI" w:hAnsi="Segoe UI" w:cs="Segoe UI"/>
                <w:sz w:val="18"/>
                <w:szCs w:val="18"/>
              </w:rPr>
              <w:t>Freakanomics</w:t>
            </w:r>
            <w:proofErr w:type="spellEnd"/>
            <w:r w:rsidRPr="007B092B">
              <w:rPr>
                <w:rFonts w:ascii="Segoe UI" w:hAnsi="Segoe UI" w:cs="Segoe UI"/>
                <w:sz w:val="18"/>
                <w:szCs w:val="18"/>
              </w:rPr>
              <w:t xml:space="preserve"> video</w:t>
            </w:r>
          </w:p>
          <w:p w:rsidR="007D3390" w:rsidRPr="007B092B" w:rsidRDefault="007D3390" w:rsidP="007B092B">
            <w:pPr>
              <w:pStyle w:val="ListParagraph"/>
              <w:numPr>
                <w:ilvl w:val="0"/>
                <w:numId w:val="8"/>
              </w:numPr>
              <w:ind w:left="224" w:hanging="270"/>
              <w:rPr>
                <w:rFonts w:ascii="Segoe UI" w:hAnsi="Segoe UI" w:cs="Segoe UI"/>
                <w:sz w:val="18"/>
                <w:szCs w:val="18"/>
              </w:rPr>
            </w:pPr>
            <w:r w:rsidRPr="007B092B">
              <w:rPr>
                <w:rFonts w:ascii="Segoe UI" w:hAnsi="Segoe UI" w:cs="Segoe UI"/>
                <w:sz w:val="18"/>
                <w:szCs w:val="18"/>
              </w:rPr>
              <w:t>Podcasts from Planet Money</w:t>
            </w:r>
          </w:p>
          <w:p w:rsidR="002550DF" w:rsidRPr="007B092B" w:rsidRDefault="002550DF" w:rsidP="007B092B">
            <w:pPr>
              <w:pStyle w:val="ListParagraph"/>
              <w:numPr>
                <w:ilvl w:val="0"/>
                <w:numId w:val="8"/>
              </w:numPr>
              <w:ind w:left="224" w:hanging="270"/>
              <w:rPr>
                <w:rFonts w:ascii="Segoe UI" w:hAnsi="Segoe UI" w:cs="Segoe UI"/>
                <w:sz w:val="18"/>
                <w:szCs w:val="18"/>
              </w:rPr>
            </w:pPr>
            <w:proofErr w:type="spellStart"/>
            <w:proofErr w:type="gramStart"/>
            <w:r w:rsidRPr="007B092B">
              <w:rPr>
                <w:rFonts w:ascii="Segoe UI" w:hAnsi="Segoe UI" w:cs="Segoe UI"/>
                <w:sz w:val="18"/>
                <w:szCs w:val="18"/>
              </w:rPr>
              <w:t>soss</w:t>
            </w:r>
            <w:proofErr w:type="spellEnd"/>
            <w:proofErr w:type="gramEnd"/>
            <w:r w:rsidRPr="007B092B">
              <w:rPr>
                <w:rFonts w:ascii="Segoe UI" w:hAnsi="Segoe UI" w:cs="Segoe UI"/>
                <w:sz w:val="18"/>
                <w:szCs w:val="18"/>
              </w:rPr>
              <w:t xml:space="preserve">, j. (2011). </w:t>
            </w:r>
            <w:proofErr w:type="gramStart"/>
            <w:r w:rsidRPr="007B092B">
              <w:rPr>
                <w:rFonts w:ascii="Segoe UI" w:hAnsi="Segoe UI" w:cs="Segoe UI"/>
                <w:sz w:val="18"/>
                <w:szCs w:val="18"/>
              </w:rPr>
              <w:t>one</w:t>
            </w:r>
            <w:proofErr w:type="gramEnd"/>
            <w:r w:rsidRPr="007B092B">
              <w:rPr>
                <w:rFonts w:ascii="Segoe UI" w:hAnsi="Segoe UI" w:cs="Segoe UI"/>
                <w:sz w:val="18"/>
                <w:szCs w:val="18"/>
              </w:rPr>
              <w:t xml:space="preserve"> thing i KNOW: the poverty fight. </w:t>
            </w:r>
            <w:r w:rsidRPr="007B092B">
              <w:rPr>
                <w:rFonts w:ascii="Segoe UI" w:hAnsi="Segoe UI" w:cs="Segoe UI"/>
                <w:i/>
                <w:iCs/>
                <w:sz w:val="18"/>
                <w:szCs w:val="18"/>
              </w:rPr>
              <w:t>Contexts, 10</w:t>
            </w:r>
            <w:r w:rsidRPr="007B092B">
              <w:rPr>
                <w:rFonts w:ascii="Segoe UI" w:hAnsi="Segoe UI" w:cs="Segoe UI"/>
                <w:sz w:val="18"/>
                <w:szCs w:val="18"/>
              </w:rPr>
              <w:t>(2), 84-84.</w:t>
            </w:r>
          </w:p>
          <w:p w:rsidR="00CD2AED" w:rsidRPr="007B092B" w:rsidRDefault="00CD2AED" w:rsidP="007B092B">
            <w:pPr>
              <w:pStyle w:val="ListParagraph"/>
              <w:numPr>
                <w:ilvl w:val="0"/>
                <w:numId w:val="8"/>
              </w:numPr>
              <w:shd w:val="clear" w:color="auto" w:fill="A8D08D" w:themeFill="accent6" w:themeFillTint="99"/>
              <w:ind w:left="224" w:hanging="270"/>
              <w:rPr>
                <w:rFonts w:ascii="Segoe UI" w:hAnsi="Segoe UI" w:cs="Segoe UI"/>
                <w:sz w:val="18"/>
                <w:szCs w:val="18"/>
              </w:rPr>
            </w:pPr>
            <w:proofErr w:type="spellStart"/>
            <w:r w:rsidRPr="007B092B">
              <w:rPr>
                <w:rFonts w:ascii="Segoe UI" w:hAnsi="Segoe UI" w:cs="Segoe UI"/>
                <w:sz w:val="18"/>
                <w:szCs w:val="18"/>
              </w:rPr>
              <w:t>López</w:t>
            </w:r>
            <w:proofErr w:type="spellEnd"/>
            <w:r w:rsidRPr="007B092B">
              <w:rPr>
                <w:rFonts w:ascii="Segoe UI" w:hAnsi="Segoe UI" w:cs="Segoe UI"/>
                <w:sz w:val="18"/>
                <w:szCs w:val="18"/>
              </w:rPr>
              <w:t xml:space="preserve">, I. F. H. (2010). Post-Racial Racism: Racial Stratification and Mass Incarceration in the Age of Obama. </w:t>
            </w:r>
            <w:r w:rsidRPr="007B092B">
              <w:rPr>
                <w:rFonts w:ascii="Segoe UI" w:hAnsi="Segoe UI" w:cs="Segoe UI"/>
                <w:i/>
                <w:iCs/>
                <w:sz w:val="18"/>
                <w:szCs w:val="18"/>
              </w:rPr>
              <w:t>California Law Review, 98</w:t>
            </w:r>
            <w:r w:rsidRPr="007B092B">
              <w:rPr>
                <w:rFonts w:ascii="Segoe UI" w:hAnsi="Segoe UI" w:cs="Segoe UI"/>
                <w:sz w:val="18"/>
                <w:szCs w:val="18"/>
              </w:rPr>
              <w:t>(3), 1023-1074.</w:t>
            </w:r>
          </w:p>
        </w:tc>
        <w:tc>
          <w:tcPr>
            <w:tcW w:w="3268" w:type="dxa"/>
          </w:tcPr>
          <w:p w:rsidR="00E16A35" w:rsidRDefault="00E16A35" w:rsidP="00E16A35"/>
        </w:tc>
      </w:tr>
      <w:tr w:rsidR="00E16A35" w:rsidTr="00EA7029">
        <w:tc>
          <w:tcPr>
            <w:tcW w:w="1150" w:type="dxa"/>
          </w:tcPr>
          <w:p w:rsidR="00E16A35" w:rsidRDefault="00E16A35" w:rsidP="00E16A35">
            <w:r>
              <w:t>Nov 14</w:t>
            </w:r>
          </w:p>
        </w:tc>
        <w:tc>
          <w:tcPr>
            <w:tcW w:w="1964" w:type="dxa"/>
          </w:tcPr>
          <w:p w:rsidR="00E16A35" w:rsidRDefault="00E16A35" w:rsidP="00E16A35">
            <w:r>
              <w:t>Application: Housing</w:t>
            </w:r>
          </w:p>
        </w:tc>
        <w:tc>
          <w:tcPr>
            <w:tcW w:w="3209" w:type="dxa"/>
          </w:tcPr>
          <w:p w:rsidR="00E16A35" w:rsidRDefault="00E16A35" w:rsidP="00E16A35">
            <w:r>
              <w:t>HUD and research at the Urban Institute</w:t>
            </w:r>
          </w:p>
          <w:p w:rsidR="00E16A35" w:rsidRDefault="00E16A35" w:rsidP="00E16A35">
            <w:r>
              <w:t>Redlining</w:t>
            </w:r>
          </w:p>
          <w:p w:rsidR="00E16A35" w:rsidRDefault="00E16A35" w:rsidP="00E16A35">
            <w:r>
              <w:t>The housing bubble and the financial crash</w:t>
            </w:r>
          </w:p>
          <w:p w:rsidR="004B4165" w:rsidRDefault="006C695E" w:rsidP="00E16A35">
            <w:r w:rsidRPr="006C695E">
              <w:rPr>
                <w:color w:val="00B050"/>
              </w:rPr>
              <w:t>Example of theory application: Multiple streams theory</w:t>
            </w:r>
          </w:p>
        </w:tc>
        <w:tc>
          <w:tcPr>
            <w:tcW w:w="3904" w:type="dxa"/>
          </w:tcPr>
          <w:p w:rsidR="00E16A35" w:rsidRPr="007B092B" w:rsidRDefault="007D3390" w:rsidP="007B092B">
            <w:pPr>
              <w:pStyle w:val="ListParagraph"/>
              <w:numPr>
                <w:ilvl w:val="0"/>
                <w:numId w:val="9"/>
              </w:numPr>
              <w:ind w:left="224" w:hanging="270"/>
              <w:rPr>
                <w:rFonts w:ascii="Segoe UI" w:hAnsi="Segoe UI" w:cs="Segoe UI"/>
                <w:sz w:val="18"/>
                <w:szCs w:val="18"/>
              </w:rPr>
            </w:pPr>
            <w:r w:rsidRPr="007B092B">
              <w:rPr>
                <w:rFonts w:ascii="Segoe UI" w:hAnsi="Segoe UI" w:cs="Segoe UI"/>
                <w:sz w:val="18"/>
                <w:szCs w:val="18"/>
              </w:rPr>
              <w:t>Something from Tina or Joe</w:t>
            </w:r>
          </w:p>
          <w:p w:rsidR="007D3390" w:rsidRPr="007B092B" w:rsidRDefault="007D3390" w:rsidP="007B092B">
            <w:pPr>
              <w:pStyle w:val="ListParagraph"/>
              <w:numPr>
                <w:ilvl w:val="0"/>
                <w:numId w:val="9"/>
              </w:numPr>
              <w:ind w:left="224" w:hanging="270"/>
              <w:rPr>
                <w:rFonts w:ascii="Segoe UI" w:hAnsi="Segoe UI" w:cs="Segoe UI"/>
                <w:sz w:val="18"/>
                <w:szCs w:val="18"/>
              </w:rPr>
            </w:pPr>
            <w:r w:rsidRPr="007B092B">
              <w:rPr>
                <w:rFonts w:ascii="Segoe UI" w:hAnsi="Segoe UI" w:cs="Segoe UI"/>
                <w:sz w:val="18"/>
                <w:szCs w:val="18"/>
              </w:rPr>
              <w:t>Article in the Atlantic or the Economist, I should have it saved</w:t>
            </w:r>
          </w:p>
          <w:p w:rsidR="00E2770E" w:rsidRPr="007B092B" w:rsidRDefault="00E2770E" w:rsidP="007B092B">
            <w:pPr>
              <w:pStyle w:val="ListParagraph"/>
              <w:numPr>
                <w:ilvl w:val="0"/>
                <w:numId w:val="9"/>
              </w:numPr>
              <w:ind w:left="224" w:hanging="270"/>
              <w:rPr>
                <w:rFonts w:ascii="Segoe UI" w:hAnsi="Segoe UI" w:cs="Segoe UI"/>
                <w:sz w:val="18"/>
                <w:szCs w:val="18"/>
              </w:rPr>
            </w:pPr>
            <w:r w:rsidRPr="007B092B">
              <w:rPr>
                <w:rFonts w:ascii="Segoe UI" w:hAnsi="Segoe UI" w:cs="Segoe UI"/>
                <w:sz w:val="18"/>
                <w:szCs w:val="18"/>
              </w:rPr>
              <w:t xml:space="preserve">May, P. J. (2005). Regulatory Implementation: Examining Barriers </w:t>
            </w:r>
            <w:proofErr w:type="gramStart"/>
            <w:r w:rsidRPr="007B092B">
              <w:rPr>
                <w:rFonts w:ascii="Segoe UI" w:hAnsi="Segoe UI" w:cs="Segoe UI"/>
                <w:sz w:val="18"/>
                <w:szCs w:val="18"/>
              </w:rPr>
              <w:t>From</w:t>
            </w:r>
            <w:proofErr w:type="gramEnd"/>
            <w:r w:rsidRPr="007B092B">
              <w:rPr>
                <w:rFonts w:ascii="Segoe UI" w:hAnsi="Segoe UI" w:cs="Segoe UI"/>
                <w:sz w:val="18"/>
                <w:szCs w:val="18"/>
              </w:rPr>
              <w:t xml:space="preserve"> Regulatory Processes. </w:t>
            </w:r>
            <w:r w:rsidRPr="007B092B">
              <w:rPr>
                <w:rFonts w:ascii="Segoe UI" w:hAnsi="Segoe UI" w:cs="Segoe UI"/>
                <w:i/>
                <w:iCs/>
                <w:sz w:val="18"/>
                <w:szCs w:val="18"/>
              </w:rPr>
              <w:t>Cityscape, 8</w:t>
            </w:r>
            <w:r w:rsidRPr="007B092B">
              <w:rPr>
                <w:rFonts w:ascii="Segoe UI" w:hAnsi="Segoe UI" w:cs="Segoe UI"/>
                <w:sz w:val="18"/>
                <w:szCs w:val="18"/>
              </w:rPr>
              <w:t>(1), 209-232.</w:t>
            </w:r>
          </w:p>
          <w:p w:rsidR="00340716" w:rsidRPr="007B092B" w:rsidRDefault="00340716" w:rsidP="007B092B">
            <w:pPr>
              <w:pStyle w:val="ListParagraph"/>
              <w:numPr>
                <w:ilvl w:val="0"/>
                <w:numId w:val="9"/>
              </w:numPr>
              <w:shd w:val="clear" w:color="auto" w:fill="A8D08D" w:themeFill="accent6" w:themeFillTint="99"/>
              <w:ind w:left="224" w:hanging="270"/>
              <w:rPr>
                <w:rFonts w:ascii="Segoe UI" w:hAnsi="Segoe UI" w:cs="Segoe UI"/>
                <w:sz w:val="18"/>
                <w:szCs w:val="18"/>
              </w:rPr>
            </w:pPr>
            <w:proofErr w:type="spellStart"/>
            <w:r w:rsidRPr="007B092B">
              <w:rPr>
                <w:rFonts w:ascii="Segoe UI" w:hAnsi="Segoe UI" w:cs="Segoe UI"/>
                <w:sz w:val="18"/>
                <w:szCs w:val="18"/>
              </w:rPr>
              <w:t>Soss</w:t>
            </w:r>
            <w:proofErr w:type="spellEnd"/>
            <w:r w:rsidRPr="007B092B">
              <w:rPr>
                <w:rFonts w:ascii="Segoe UI" w:hAnsi="Segoe UI" w:cs="Segoe UI"/>
                <w:sz w:val="18"/>
                <w:szCs w:val="18"/>
              </w:rPr>
              <w:t xml:space="preserve">, J., Fording, R. C., &amp; </w:t>
            </w:r>
            <w:proofErr w:type="spellStart"/>
            <w:r w:rsidRPr="007B092B">
              <w:rPr>
                <w:rFonts w:ascii="Segoe UI" w:hAnsi="Segoe UI" w:cs="Segoe UI"/>
                <w:sz w:val="18"/>
                <w:szCs w:val="18"/>
              </w:rPr>
              <w:t>Schram</w:t>
            </w:r>
            <w:proofErr w:type="spellEnd"/>
            <w:r w:rsidRPr="007B092B">
              <w:rPr>
                <w:rFonts w:ascii="Segoe UI" w:hAnsi="Segoe UI" w:cs="Segoe UI"/>
                <w:sz w:val="18"/>
                <w:szCs w:val="18"/>
              </w:rPr>
              <w:t xml:space="preserve">, S. F. (2008). The Color of Devolution: Race, Federalism, and the Politics of Social Control. </w:t>
            </w:r>
            <w:r w:rsidRPr="007B092B">
              <w:rPr>
                <w:rFonts w:ascii="Segoe UI" w:hAnsi="Segoe UI" w:cs="Segoe UI"/>
                <w:i/>
                <w:iCs/>
                <w:sz w:val="18"/>
                <w:szCs w:val="18"/>
              </w:rPr>
              <w:t>American Journal of Political Science, 52</w:t>
            </w:r>
            <w:r w:rsidRPr="007B092B">
              <w:rPr>
                <w:rFonts w:ascii="Segoe UI" w:hAnsi="Segoe UI" w:cs="Segoe UI"/>
                <w:sz w:val="18"/>
                <w:szCs w:val="18"/>
              </w:rPr>
              <w:t>(3), 536-553.</w:t>
            </w:r>
          </w:p>
          <w:p w:rsidR="00075D7B" w:rsidRPr="007B092B" w:rsidRDefault="00075D7B" w:rsidP="007B092B">
            <w:pPr>
              <w:pStyle w:val="ListParagraph"/>
              <w:numPr>
                <w:ilvl w:val="0"/>
                <w:numId w:val="9"/>
              </w:numPr>
              <w:shd w:val="clear" w:color="auto" w:fill="A8D08D" w:themeFill="accent6" w:themeFillTint="99"/>
              <w:ind w:left="224" w:hanging="270"/>
              <w:rPr>
                <w:rFonts w:ascii="Segoe UI" w:hAnsi="Segoe UI" w:cs="Segoe UI"/>
                <w:sz w:val="18"/>
                <w:szCs w:val="18"/>
              </w:rPr>
            </w:pPr>
            <w:r w:rsidRPr="007B092B">
              <w:rPr>
                <w:rFonts w:ascii="Segoe UI" w:hAnsi="Segoe UI" w:cs="Segoe UI"/>
                <w:sz w:val="18"/>
                <w:szCs w:val="18"/>
              </w:rPr>
              <w:t xml:space="preserve">Lamb, C. M., &amp; </w:t>
            </w:r>
            <w:proofErr w:type="spellStart"/>
            <w:r w:rsidRPr="007B092B">
              <w:rPr>
                <w:rFonts w:ascii="Segoe UI" w:hAnsi="Segoe UI" w:cs="Segoe UI"/>
                <w:sz w:val="18"/>
                <w:szCs w:val="18"/>
              </w:rPr>
              <w:t>Wilk</w:t>
            </w:r>
            <w:proofErr w:type="spellEnd"/>
            <w:r w:rsidRPr="007B092B">
              <w:rPr>
                <w:rFonts w:ascii="Segoe UI" w:hAnsi="Segoe UI" w:cs="Segoe UI"/>
                <w:sz w:val="18"/>
                <w:szCs w:val="18"/>
              </w:rPr>
              <w:t xml:space="preserve">, E. M. (2010). Civil Rights, Federalism, and the Administrative Process: Favorable Outcomes by Federal, State, and Local Agencies in Housing Discrimination Complaints. </w:t>
            </w:r>
            <w:r w:rsidRPr="007B092B">
              <w:rPr>
                <w:rFonts w:ascii="Segoe UI" w:hAnsi="Segoe UI" w:cs="Segoe UI"/>
                <w:i/>
                <w:iCs/>
                <w:sz w:val="18"/>
                <w:szCs w:val="18"/>
              </w:rPr>
              <w:t>Public Administration Review, 70</w:t>
            </w:r>
            <w:r w:rsidRPr="007B092B">
              <w:rPr>
                <w:rFonts w:ascii="Segoe UI" w:hAnsi="Segoe UI" w:cs="Segoe UI"/>
                <w:sz w:val="18"/>
                <w:szCs w:val="18"/>
              </w:rPr>
              <w:t>(3), 412-421.</w:t>
            </w:r>
          </w:p>
        </w:tc>
        <w:tc>
          <w:tcPr>
            <w:tcW w:w="3268" w:type="dxa"/>
          </w:tcPr>
          <w:p w:rsidR="00E16A35" w:rsidRDefault="00E16A35" w:rsidP="00E16A35"/>
        </w:tc>
      </w:tr>
      <w:tr w:rsidR="00E16A35" w:rsidTr="00EA7029">
        <w:tc>
          <w:tcPr>
            <w:tcW w:w="1150" w:type="dxa"/>
          </w:tcPr>
          <w:p w:rsidR="00E16A35" w:rsidRDefault="00E16A35" w:rsidP="00E16A35">
            <w:r>
              <w:lastRenderedPageBreak/>
              <w:t>Nov 21</w:t>
            </w:r>
          </w:p>
        </w:tc>
        <w:tc>
          <w:tcPr>
            <w:tcW w:w="1964" w:type="dxa"/>
          </w:tcPr>
          <w:p w:rsidR="00DE2211" w:rsidRDefault="00E16A35" w:rsidP="00DE2211">
            <w:pPr>
              <w:rPr>
                <w:shd w:val="clear" w:color="auto" w:fill="FFE599" w:themeFill="accent4" w:themeFillTint="66"/>
              </w:rPr>
            </w:pPr>
            <w:r>
              <w:t xml:space="preserve">Application: </w:t>
            </w:r>
            <w:r w:rsidR="00EB0E2E">
              <w:t>W</w:t>
            </w:r>
            <w:r>
              <w:t>elfare</w:t>
            </w:r>
            <w:r w:rsidR="00DE2211" w:rsidRPr="007D3390">
              <w:rPr>
                <w:shd w:val="clear" w:color="auto" w:fill="FFE599" w:themeFill="accent4" w:themeFillTint="66"/>
              </w:rPr>
              <w:t xml:space="preserve"> </w:t>
            </w:r>
          </w:p>
          <w:p w:rsidR="00DE2211" w:rsidRDefault="00DE2211" w:rsidP="00DE2211">
            <w:pPr>
              <w:rPr>
                <w:shd w:val="clear" w:color="auto" w:fill="FFE599" w:themeFill="accent4" w:themeFillTint="66"/>
              </w:rPr>
            </w:pPr>
          </w:p>
          <w:p w:rsidR="00DE2211" w:rsidRDefault="00DE2211" w:rsidP="00DE2211">
            <w:pPr>
              <w:rPr>
                <w:shd w:val="clear" w:color="auto" w:fill="FFE599" w:themeFill="accent4" w:themeFillTint="66"/>
              </w:rPr>
            </w:pPr>
            <w:r w:rsidRPr="007D3390">
              <w:rPr>
                <w:shd w:val="clear" w:color="auto" w:fill="FFE599" w:themeFill="accent4" w:themeFillTint="66"/>
              </w:rPr>
              <w:t xml:space="preserve">Visit from possibly Navina Forsythe, Tonya Myrup or the person </w:t>
            </w:r>
            <w:r>
              <w:rPr>
                <w:shd w:val="clear" w:color="auto" w:fill="FFE599" w:themeFill="accent4" w:themeFillTint="66"/>
              </w:rPr>
              <w:t>who is over research at DCFS</w:t>
            </w:r>
            <w:r w:rsidRPr="007D3390">
              <w:rPr>
                <w:shd w:val="clear" w:color="auto" w:fill="FFE599" w:themeFill="accent4" w:themeFillTint="66"/>
              </w:rPr>
              <w:t>.</w:t>
            </w:r>
          </w:p>
          <w:p w:rsidR="00E16A35" w:rsidRDefault="00E16A35" w:rsidP="00EB0E2E"/>
        </w:tc>
        <w:tc>
          <w:tcPr>
            <w:tcW w:w="3209" w:type="dxa"/>
          </w:tcPr>
          <w:p w:rsidR="00E16A35" w:rsidRDefault="00E16A35" w:rsidP="00E16A35">
            <w:r>
              <w:t>DCFS – data driven continuous improvement</w:t>
            </w:r>
          </w:p>
          <w:p w:rsidR="009239E5" w:rsidRDefault="006C695E" w:rsidP="00E16A35">
            <w:pPr>
              <w:rPr>
                <w:color w:val="00B050"/>
              </w:rPr>
            </w:pPr>
            <w:r w:rsidRPr="006C695E">
              <w:rPr>
                <w:color w:val="00B050"/>
              </w:rPr>
              <w:t xml:space="preserve">Example of theory application: </w:t>
            </w:r>
          </w:p>
          <w:p w:rsidR="006C695E" w:rsidRDefault="009239E5" w:rsidP="00E16A35">
            <w:r>
              <w:rPr>
                <w:color w:val="00B050"/>
              </w:rPr>
              <w:t>Epistemic communities/Advocacy coalition framework</w:t>
            </w:r>
          </w:p>
        </w:tc>
        <w:tc>
          <w:tcPr>
            <w:tcW w:w="3904" w:type="dxa"/>
          </w:tcPr>
          <w:p w:rsidR="00E16A35" w:rsidRPr="007B092B" w:rsidRDefault="007D3390" w:rsidP="007B092B">
            <w:pPr>
              <w:pStyle w:val="ListParagraph"/>
              <w:numPr>
                <w:ilvl w:val="0"/>
                <w:numId w:val="10"/>
              </w:numPr>
              <w:ind w:left="224" w:hanging="270"/>
              <w:rPr>
                <w:rFonts w:ascii="Segoe UI" w:hAnsi="Segoe UI" w:cs="Segoe UI"/>
                <w:sz w:val="18"/>
                <w:szCs w:val="18"/>
              </w:rPr>
            </w:pPr>
            <w:r w:rsidRPr="007B092B">
              <w:rPr>
                <w:rFonts w:ascii="Segoe UI" w:hAnsi="Segoe UI" w:cs="Segoe UI"/>
                <w:sz w:val="18"/>
                <w:szCs w:val="18"/>
              </w:rPr>
              <w:t>President’s CECANF</w:t>
            </w:r>
          </w:p>
          <w:p w:rsidR="007D3390" w:rsidRPr="007B092B" w:rsidRDefault="007D3390" w:rsidP="007B092B">
            <w:pPr>
              <w:pStyle w:val="ListParagraph"/>
              <w:numPr>
                <w:ilvl w:val="0"/>
                <w:numId w:val="10"/>
              </w:numPr>
              <w:ind w:left="224" w:hanging="270"/>
              <w:rPr>
                <w:rFonts w:ascii="Segoe UI" w:hAnsi="Segoe UI" w:cs="Segoe UI"/>
                <w:sz w:val="18"/>
                <w:szCs w:val="18"/>
              </w:rPr>
            </w:pPr>
            <w:r w:rsidRPr="007B092B">
              <w:rPr>
                <w:rFonts w:ascii="Segoe UI" w:hAnsi="Segoe UI" w:cs="Segoe UI"/>
                <w:sz w:val="18"/>
                <w:szCs w:val="18"/>
              </w:rPr>
              <w:t>The ACE study</w:t>
            </w:r>
          </w:p>
          <w:p w:rsidR="00E660FC" w:rsidRPr="007B092B" w:rsidRDefault="00E660FC" w:rsidP="007B092B">
            <w:pPr>
              <w:pStyle w:val="ListParagraph"/>
              <w:numPr>
                <w:ilvl w:val="0"/>
                <w:numId w:val="10"/>
              </w:numPr>
              <w:ind w:left="224" w:hanging="270"/>
              <w:rPr>
                <w:rFonts w:ascii="Segoe UI" w:hAnsi="Segoe UI" w:cs="Segoe UI"/>
                <w:sz w:val="18"/>
                <w:szCs w:val="18"/>
              </w:rPr>
            </w:pPr>
            <w:proofErr w:type="spellStart"/>
            <w:r w:rsidRPr="007B092B">
              <w:rPr>
                <w:rFonts w:ascii="Segoe UI" w:hAnsi="Segoe UI" w:cs="Segoe UI"/>
                <w:sz w:val="18"/>
                <w:szCs w:val="18"/>
              </w:rPr>
              <w:t>Soss</w:t>
            </w:r>
            <w:proofErr w:type="spellEnd"/>
            <w:r w:rsidRPr="007B092B">
              <w:rPr>
                <w:rFonts w:ascii="Segoe UI" w:hAnsi="Segoe UI" w:cs="Segoe UI"/>
                <w:sz w:val="18"/>
                <w:szCs w:val="18"/>
              </w:rPr>
              <w:t xml:space="preserve">, J. (1999). Lessons of Welfare: Policy Design, Political Learning, and Political Action. </w:t>
            </w:r>
            <w:r w:rsidRPr="007B092B">
              <w:rPr>
                <w:rFonts w:ascii="Segoe UI" w:hAnsi="Segoe UI" w:cs="Segoe UI"/>
                <w:i/>
                <w:iCs/>
                <w:sz w:val="18"/>
                <w:szCs w:val="18"/>
              </w:rPr>
              <w:t>The American Political Science Review, 93</w:t>
            </w:r>
            <w:r w:rsidRPr="007B092B">
              <w:rPr>
                <w:rFonts w:ascii="Segoe UI" w:hAnsi="Segoe UI" w:cs="Segoe UI"/>
                <w:sz w:val="18"/>
                <w:szCs w:val="18"/>
              </w:rPr>
              <w:t>(2), 363-380. doi:10.2307/2585401</w:t>
            </w:r>
          </w:p>
          <w:p w:rsidR="00E2770E" w:rsidRPr="007B092B" w:rsidRDefault="00E2770E" w:rsidP="007B092B">
            <w:pPr>
              <w:pStyle w:val="ListParagraph"/>
              <w:numPr>
                <w:ilvl w:val="0"/>
                <w:numId w:val="10"/>
              </w:numPr>
              <w:ind w:left="224" w:hanging="270"/>
              <w:rPr>
                <w:rFonts w:ascii="Segoe UI" w:hAnsi="Segoe UI" w:cs="Segoe UI"/>
                <w:sz w:val="18"/>
                <w:szCs w:val="18"/>
              </w:rPr>
            </w:pPr>
            <w:proofErr w:type="spellStart"/>
            <w:r w:rsidRPr="007B092B">
              <w:rPr>
                <w:rFonts w:ascii="Segoe UI" w:hAnsi="Segoe UI" w:cs="Segoe UI"/>
                <w:sz w:val="18"/>
                <w:szCs w:val="18"/>
              </w:rPr>
              <w:t>Mettler</w:t>
            </w:r>
            <w:proofErr w:type="spellEnd"/>
            <w:r w:rsidRPr="007B092B">
              <w:rPr>
                <w:rFonts w:ascii="Segoe UI" w:hAnsi="Segoe UI" w:cs="Segoe UI"/>
                <w:sz w:val="18"/>
                <w:szCs w:val="18"/>
              </w:rPr>
              <w:t xml:space="preserve">, S. (2010). Reconstituting the Submerged State: The Challenges of Social Policy Reform in the Obama Era. </w:t>
            </w:r>
            <w:r w:rsidRPr="007B092B">
              <w:rPr>
                <w:rFonts w:ascii="Segoe UI" w:hAnsi="Segoe UI" w:cs="Segoe UI"/>
                <w:i/>
                <w:iCs/>
                <w:sz w:val="18"/>
                <w:szCs w:val="18"/>
              </w:rPr>
              <w:t>Perspectives on Politics, 8</w:t>
            </w:r>
            <w:r w:rsidRPr="007B092B">
              <w:rPr>
                <w:rFonts w:ascii="Segoe UI" w:hAnsi="Segoe UI" w:cs="Segoe UI"/>
                <w:sz w:val="18"/>
                <w:szCs w:val="18"/>
              </w:rPr>
              <w:t>(3), 803-824.</w:t>
            </w:r>
          </w:p>
          <w:p w:rsidR="00340716" w:rsidRPr="007B092B" w:rsidRDefault="00340716" w:rsidP="007B092B">
            <w:pPr>
              <w:pStyle w:val="ListParagraph"/>
              <w:numPr>
                <w:ilvl w:val="0"/>
                <w:numId w:val="10"/>
              </w:numPr>
              <w:shd w:val="clear" w:color="auto" w:fill="A8D08D" w:themeFill="accent6" w:themeFillTint="99"/>
              <w:ind w:left="224" w:hanging="270"/>
              <w:rPr>
                <w:rFonts w:ascii="Segoe UI" w:hAnsi="Segoe UI" w:cs="Segoe UI"/>
                <w:sz w:val="18"/>
                <w:szCs w:val="18"/>
              </w:rPr>
            </w:pPr>
            <w:proofErr w:type="spellStart"/>
            <w:r w:rsidRPr="007B092B">
              <w:rPr>
                <w:rFonts w:ascii="Segoe UI" w:hAnsi="Segoe UI" w:cs="Segoe UI"/>
                <w:sz w:val="18"/>
                <w:szCs w:val="18"/>
              </w:rPr>
              <w:t>Monnat</w:t>
            </w:r>
            <w:proofErr w:type="spellEnd"/>
            <w:r w:rsidRPr="007B092B">
              <w:rPr>
                <w:rFonts w:ascii="Segoe UI" w:hAnsi="Segoe UI" w:cs="Segoe UI"/>
                <w:sz w:val="18"/>
                <w:szCs w:val="18"/>
              </w:rPr>
              <w:t xml:space="preserve">, S. M. (2010). Toward a Critical Understanding of Gendered Color-Blind Racism </w:t>
            </w:r>
            <w:proofErr w:type="gramStart"/>
            <w:r w:rsidRPr="007B092B">
              <w:rPr>
                <w:rFonts w:ascii="Segoe UI" w:hAnsi="Segoe UI" w:cs="Segoe UI"/>
                <w:sz w:val="18"/>
                <w:szCs w:val="18"/>
              </w:rPr>
              <w:t>Within</w:t>
            </w:r>
            <w:proofErr w:type="gramEnd"/>
            <w:r w:rsidRPr="007B092B">
              <w:rPr>
                <w:rFonts w:ascii="Segoe UI" w:hAnsi="Segoe UI" w:cs="Segoe UI"/>
                <w:sz w:val="18"/>
                <w:szCs w:val="18"/>
              </w:rPr>
              <w:t xml:space="preserve"> the U.S. Welfare Institution. </w:t>
            </w:r>
            <w:r w:rsidRPr="007B092B">
              <w:rPr>
                <w:rFonts w:ascii="Segoe UI" w:hAnsi="Segoe UI" w:cs="Segoe UI"/>
                <w:i/>
                <w:iCs/>
                <w:sz w:val="18"/>
                <w:szCs w:val="18"/>
              </w:rPr>
              <w:t>Journal of Black Studies, 40</w:t>
            </w:r>
            <w:r w:rsidRPr="007B092B">
              <w:rPr>
                <w:rFonts w:ascii="Segoe UI" w:hAnsi="Segoe UI" w:cs="Segoe UI"/>
                <w:sz w:val="18"/>
                <w:szCs w:val="18"/>
              </w:rPr>
              <w:t>(4), 637-652.</w:t>
            </w:r>
          </w:p>
        </w:tc>
        <w:tc>
          <w:tcPr>
            <w:tcW w:w="3268" w:type="dxa"/>
          </w:tcPr>
          <w:p w:rsidR="00E16A35" w:rsidRDefault="00E16A35" w:rsidP="00E16A35"/>
        </w:tc>
      </w:tr>
      <w:tr w:rsidR="00E16A35" w:rsidTr="00EA7029">
        <w:tc>
          <w:tcPr>
            <w:tcW w:w="1150" w:type="dxa"/>
            <w:shd w:val="clear" w:color="auto" w:fill="FFE599" w:themeFill="accent4" w:themeFillTint="66"/>
          </w:tcPr>
          <w:p w:rsidR="00E16A35" w:rsidRDefault="00E16A35" w:rsidP="00E16A35">
            <w:r>
              <w:t>Nov 28</w:t>
            </w:r>
          </w:p>
        </w:tc>
        <w:tc>
          <w:tcPr>
            <w:tcW w:w="1964" w:type="dxa"/>
            <w:shd w:val="clear" w:color="auto" w:fill="FFE599" w:themeFill="accent4" w:themeFillTint="66"/>
          </w:tcPr>
          <w:p w:rsidR="00E16A35" w:rsidRDefault="00EB55D9" w:rsidP="00E16A35">
            <w:r>
              <w:t>Presentation of policy area</w:t>
            </w:r>
          </w:p>
        </w:tc>
        <w:tc>
          <w:tcPr>
            <w:tcW w:w="3209" w:type="dxa"/>
            <w:shd w:val="clear" w:color="auto" w:fill="FFE599" w:themeFill="accent4" w:themeFillTint="66"/>
          </w:tcPr>
          <w:p w:rsidR="00E16A35" w:rsidRDefault="00EB55D9" w:rsidP="00EB55D9">
            <w:r>
              <w:t>Students present the policy area they have researched and the frame they think best gives you an angle (tool or theory) at understanding this policy area.</w:t>
            </w:r>
          </w:p>
        </w:tc>
        <w:tc>
          <w:tcPr>
            <w:tcW w:w="3904" w:type="dxa"/>
            <w:shd w:val="clear" w:color="auto" w:fill="FFE599" w:themeFill="accent4" w:themeFillTint="66"/>
          </w:tcPr>
          <w:p w:rsidR="00E16A35" w:rsidRPr="007B092B" w:rsidRDefault="00E16A35" w:rsidP="007B092B">
            <w:pPr>
              <w:ind w:left="224" w:hanging="270"/>
              <w:rPr>
                <w:rFonts w:ascii="Segoe UI" w:hAnsi="Segoe UI" w:cs="Segoe UI"/>
                <w:sz w:val="18"/>
                <w:szCs w:val="18"/>
              </w:rPr>
            </w:pPr>
          </w:p>
        </w:tc>
        <w:tc>
          <w:tcPr>
            <w:tcW w:w="3268" w:type="dxa"/>
            <w:shd w:val="clear" w:color="auto" w:fill="FFE599" w:themeFill="accent4" w:themeFillTint="66"/>
          </w:tcPr>
          <w:p w:rsidR="00E16A35" w:rsidRPr="00EB55D9" w:rsidRDefault="00EB55D9" w:rsidP="00E16A35">
            <w:pPr>
              <w:rPr>
                <w:b/>
              </w:rPr>
            </w:pPr>
            <w:r w:rsidRPr="00EB55D9">
              <w:rPr>
                <w:b/>
                <w:color w:val="0070C0"/>
              </w:rPr>
              <w:t>Power Point presentation due</w:t>
            </w:r>
          </w:p>
        </w:tc>
      </w:tr>
      <w:tr w:rsidR="00E16A35" w:rsidTr="00EA7029">
        <w:tc>
          <w:tcPr>
            <w:tcW w:w="1150" w:type="dxa"/>
            <w:shd w:val="clear" w:color="auto" w:fill="C5E0B3" w:themeFill="accent6" w:themeFillTint="66"/>
          </w:tcPr>
          <w:p w:rsidR="00E16A35" w:rsidRDefault="00E16A35" w:rsidP="00E16A35">
            <w:r>
              <w:t>Dec 5</w:t>
            </w:r>
          </w:p>
        </w:tc>
        <w:tc>
          <w:tcPr>
            <w:tcW w:w="1964" w:type="dxa"/>
            <w:shd w:val="clear" w:color="auto" w:fill="C5E0B3" w:themeFill="accent6" w:themeFillTint="66"/>
          </w:tcPr>
          <w:p w:rsidR="00E16A35" w:rsidRDefault="00E16A35" w:rsidP="001B18BE">
            <w:r>
              <w:t>I am at ISPCAN</w:t>
            </w:r>
          </w:p>
        </w:tc>
        <w:tc>
          <w:tcPr>
            <w:tcW w:w="3209" w:type="dxa"/>
            <w:shd w:val="clear" w:color="auto" w:fill="C5E0B3" w:themeFill="accent6" w:themeFillTint="66"/>
          </w:tcPr>
          <w:p w:rsidR="00E16A35" w:rsidRDefault="001B18BE" w:rsidP="00E16A35">
            <w:r>
              <w:t>Career development workshop</w:t>
            </w:r>
          </w:p>
        </w:tc>
        <w:tc>
          <w:tcPr>
            <w:tcW w:w="3904" w:type="dxa"/>
            <w:shd w:val="clear" w:color="auto" w:fill="C5E0B3" w:themeFill="accent6" w:themeFillTint="66"/>
          </w:tcPr>
          <w:p w:rsidR="00E16A35" w:rsidRDefault="00E16A35" w:rsidP="00E16A35"/>
        </w:tc>
        <w:tc>
          <w:tcPr>
            <w:tcW w:w="3268" w:type="dxa"/>
            <w:shd w:val="clear" w:color="auto" w:fill="C5E0B3" w:themeFill="accent6" w:themeFillTint="66"/>
          </w:tcPr>
          <w:p w:rsidR="00E43835" w:rsidRDefault="00E43835" w:rsidP="00E43835">
            <w:r w:rsidRPr="006E6FEC">
              <w:rPr>
                <w:b/>
                <w:color w:val="0070C0"/>
              </w:rPr>
              <w:t>Feedback on other students PowerPoint presentations due</w:t>
            </w:r>
            <w:r w:rsidRPr="00EB55D9">
              <w:rPr>
                <w:b/>
                <w:color w:val="0070C0"/>
              </w:rPr>
              <w:t xml:space="preserve"> </w:t>
            </w:r>
          </w:p>
          <w:p w:rsidR="00E16A35" w:rsidRDefault="00E16A35" w:rsidP="00E16A35"/>
        </w:tc>
      </w:tr>
      <w:tr w:rsidR="00E16A35" w:rsidTr="00EA7029">
        <w:tc>
          <w:tcPr>
            <w:tcW w:w="1150" w:type="dxa"/>
          </w:tcPr>
          <w:p w:rsidR="00E16A35" w:rsidRDefault="00481B4B" w:rsidP="00E16A35">
            <w:r>
              <w:t>Dec 12</w:t>
            </w:r>
          </w:p>
        </w:tc>
        <w:tc>
          <w:tcPr>
            <w:tcW w:w="1964" w:type="dxa"/>
          </w:tcPr>
          <w:p w:rsidR="00E16A35" w:rsidRDefault="00E16A35" w:rsidP="00E16A35"/>
        </w:tc>
        <w:tc>
          <w:tcPr>
            <w:tcW w:w="3209" w:type="dxa"/>
          </w:tcPr>
          <w:p w:rsidR="00E16A35" w:rsidRDefault="00E16A35" w:rsidP="00E16A35"/>
        </w:tc>
        <w:tc>
          <w:tcPr>
            <w:tcW w:w="3904" w:type="dxa"/>
          </w:tcPr>
          <w:p w:rsidR="00E16A35" w:rsidRDefault="00E16A35" w:rsidP="00E16A35"/>
        </w:tc>
        <w:tc>
          <w:tcPr>
            <w:tcW w:w="3268" w:type="dxa"/>
          </w:tcPr>
          <w:p w:rsidR="00E43835" w:rsidRPr="00EB55D9" w:rsidRDefault="00E43835" w:rsidP="00E43835">
            <w:pPr>
              <w:rPr>
                <w:b/>
                <w:color w:val="0070C0"/>
              </w:rPr>
            </w:pPr>
            <w:r w:rsidRPr="00EB55D9">
              <w:rPr>
                <w:b/>
                <w:color w:val="0070C0"/>
              </w:rPr>
              <w:t>Policy Area Analysis</w:t>
            </w:r>
          </w:p>
          <w:p w:rsidR="00E16A35" w:rsidRPr="006E6FEC" w:rsidRDefault="00E43835" w:rsidP="00E43835">
            <w:pPr>
              <w:rPr>
                <w:b/>
              </w:rPr>
            </w:pPr>
            <w:r w:rsidRPr="00EB55D9">
              <w:rPr>
                <w:b/>
                <w:color w:val="0070C0"/>
              </w:rPr>
              <w:t>Paper due</w:t>
            </w:r>
          </w:p>
        </w:tc>
      </w:tr>
    </w:tbl>
    <w:p w:rsidR="0049316D" w:rsidRDefault="0049316D" w:rsidP="0049316D">
      <w:pPr>
        <w:autoSpaceDE w:val="0"/>
        <w:autoSpaceDN w:val="0"/>
        <w:adjustRightInd w:val="0"/>
        <w:spacing w:after="0" w:line="240" w:lineRule="auto"/>
      </w:pPr>
    </w:p>
    <w:p w:rsidR="0049316D" w:rsidRPr="0049316D" w:rsidRDefault="0049316D" w:rsidP="0049316D">
      <w:pPr>
        <w:autoSpaceDE w:val="0"/>
        <w:autoSpaceDN w:val="0"/>
        <w:adjustRightInd w:val="0"/>
        <w:spacing w:after="0" w:line="240" w:lineRule="auto"/>
        <w:rPr>
          <w:rFonts w:cstheme="minorHAnsi"/>
          <w:color w:val="C07100"/>
        </w:rPr>
      </w:pPr>
    </w:p>
    <w:p w:rsidR="0049316D" w:rsidRPr="0049316D" w:rsidRDefault="0049316D" w:rsidP="0049316D">
      <w:pPr>
        <w:autoSpaceDE w:val="0"/>
        <w:autoSpaceDN w:val="0"/>
        <w:adjustRightInd w:val="0"/>
        <w:spacing w:after="0" w:line="240" w:lineRule="auto"/>
        <w:rPr>
          <w:rFonts w:cstheme="minorHAnsi"/>
          <w:color w:val="252525"/>
          <w:sz w:val="36"/>
          <w:szCs w:val="36"/>
        </w:rPr>
      </w:pPr>
      <w:r w:rsidRPr="0049316D">
        <w:rPr>
          <w:rFonts w:cstheme="minorHAnsi"/>
          <w:b/>
          <w:bCs/>
          <w:color w:val="252525"/>
          <w:sz w:val="36"/>
          <w:szCs w:val="36"/>
        </w:rPr>
        <w:t xml:space="preserve">Course format </w:t>
      </w:r>
    </w:p>
    <w:p w:rsidR="0049316D" w:rsidRPr="0049316D" w:rsidRDefault="0049316D" w:rsidP="0049316D">
      <w:pPr>
        <w:autoSpaceDE w:val="0"/>
        <w:autoSpaceDN w:val="0"/>
        <w:adjustRightInd w:val="0"/>
        <w:spacing w:after="0" w:line="240" w:lineRule="auto"/>
        <w:rPr>
          <w:rFonts w:cstheme="minorHAnsi"/>
          <w:color w:val="252525"/>
        </w:rPr>
      </w:pPr>
      <w:r w:rsidRPr="0049316D">
        <w:rPr>
          <w:rFonts w:cstheme="minorHAnsi"/>
          <w:color w:val="252525"/>
        </w:rPr>
        <w:t xml:space="preserve">This course is comprised of 15 weeks, organized into 13 Modules. Each week begins on Saturday morning (12:00 a.m.), and the week closes the following Friday (11:59 p.m.). On the course Canvas site, each week features readings, recommended but not required readings, materials we will work with in class and assignments linked to the content of the module or assignments due. Most materials will be accessible before the week starts, however, materials may be added or changed at any point before the week begins. </w:t>
      </w:r>
    </w:p>
    <w:p w:rsidR="0049316D" w:rsidRPr="0049316D" w:rsidRDefault="0049316D" w:rsidP="0049316D">
      <w:pPr>
        <w:autoSpaceDE w:val="0"/>
        <w:autoSpaceDN w:val="0"/>
        <w:adjustRightInd w:val="0"/>
        <w:spacing w:after="0" w:line="240" w:lineRule="auto"/>
        <w:rPr>
          <w:rFonts w:cstheme="minorHAnsi"/>
          <w:color w:val="252525"/>
        </w:rPr>
      </w:pPr>
    </w:p>
    <w:p w:rsidR="0049316D" w:rsidRPr="0049316D" w:rsidRDefault="0049316D" w:rsidP="0049316D">
      <w:pPr>
        <w:autoSpaceDE w:val="0"/>
        <w:autoSpaceDN w:val="0"/>
        <w:adjustRightInd w:val="0"/>
        <w:spacing w:after="0" w:line="240" w:lineRule="auto"/>
        <w:rPr>
          <w:rFonts w:cstheme="minorHAnsi"/>
          <w:color w:val="252525"/>
          <w:sz w:val="36"/>
          <w:szCs w:val="36"/>
        </w:rPr>
      </w:pPr>
      <w:r w:rsidRPr="0049316D">
        <w:rPr>
          <w:rFonts w:cstheme="minorHAnsi"/>
          <w:b/>
          <w:bCs/>
          <w:color w:val="252525"/>
          <w:sz w:val="36"/>
          <w:szCs w:val="36"/>
        </w:rPr>
        <w:t xml:space="preserve">Course expectations &amp; Requirements </w:t>
      </w:r>
    </w:p>
    <w:p w:rsidR="0049316D" w:rsidRDefault="0049316D" w:rsidP="0049316D">
      <w:pPr>
        <w:autoSpaceDE w:val="0"/>
        <w:autoSpaceDN w:val="0"/>
        <w:adjustRightInd w:val="0"/>
        <w:spacing w:after="0" w:line="240" w:lineRule="auto"/>
        <w:rPr>
          <w:rFonts w:cstheme="minorHAnsi"/>
          <w:b/>
          <w:bCs/>
          <w:color w:val="C07100"/>
        </w:rPr>
      </w:pPr>
    </w:p>
    <w:p w:rsidR="0049316D" w:rsidRPr="0049316D" w:rsidRDefault="0049316D" w:rsidP="0049316D">
      <w:pPr>
        <w:autoSpaceDE w:val="0"/>
        <w:autoSpaceDN w:val="0"/>
        <w:adjustRightInd w:val="0"/>
        <w:spacing w:after="0" w:line="240" w:lineRule="auto"/>
        <w:rPr>
          <w:rFonts w:cstheme="minorHAnsi"/>
          <w:color w:val="ED7D31" w:themeColor="accent2"/>
        </w:rPr>
      </w:pPr>
      <w:r w:rsidRPr="0049316D">
        <w:rPr>
          <w:rFonts w:cstheme="minorHAnsi"/>
          <w:b/>
          <w:bCs/>
          <w:color w:val="ED7D31" w:themeColor="accent2"/>
        </w:rPr>
        <w:lastRenderedPageBreak/>
        <w:t xml:space="preserve">RESPECTFUL &amp; APPROPRIATE CLASS CONDUCT </w:t>
      </w:r>
    </w:p>
    <w:p w:rsidR="0049316D" w:rsidRPr="0049316D" w:rsidRDefault="0049316D" w:rsidP="0049316D">
      <w:pPr>
        <w:autoSpaceDE w:val="0"/>
        <w:autoSpaceDN w:val="0"/>
        <w:adjustRightInd w:val="0"/>
        <w:spacing w:after="0" w:line="240" w:lineRule="auto"/>
        <w:rPr>
          <w:rFonts w:cstheme="minorHAnsi"/>
          <w:color w:val="252525"/>
        </w:rPr>
      </w:pPr>
      <w:r w:rsidRPr="0049316D">
        <w:rPr>
          <w:rFonts w:cstheme="minorHAnsi"/>
          <w:color w:val="252525"/>
        </w:rPr>
        <w:t xml:space="preserve">Public policy processes inherently center on topics and issues on which individuals often hold strong opinions, based on their personal values, beliefs, and interests. As a result this course will challenge students to not only acknowledge and respect perspectives that differ from their own, but may call on students to challenge their own opinions and beliefs, and “step into” another’s perspective to consider the strengths and limitations of their own argument. In order to facilitate this process and ensure a socially, emotionally, and psychologically safe environment, respectful behavior is the expectation, norm, and requirement in this class. Arguments and ideas may (and are expected to) be challenged, but personal attacks and disrespectful behavior and/or attitudes towards people or groups of people will not be tolerated. </w:t>
      </w:r>
    </w:p>
    <w:p w:rsidR="0049316D" w:rsidRPr="0049316D" w:rsidRDefault="0049316D" w:rsidP="0049316D">
      <w:pPr>
        <w:autoSpaceDE w:val="0"/>
        <w:autoSpaceDN w:val="0"/>
        <w:adjustRightInd w:val="0"/>
        <w:spacing w:after="0" w:line="240" w:lineRule="auto"/>
        <w:rPr>
          <w:rFonts w:cstheme="minorHAnsi"/>
        </w:rPr>
      </w:pPr>
    </w:p>
    <w:p w:rsidR="0049316D" w:rsidRPr="0049316D" w:rsidRDefault="0049316D" w:rsidP="0049316D">
      <w:pPr>
        <w:autoSpaceDE w:val="0"/>
        <w:autoSpaceDN w:val="0"/>
        <w:adjustRightInd w:val="0"/>
        <w:spacing w:after="0" w:line="240" w:lineRule="auto"/>
        <w:rPr>
          <w:rFonts w:cstheme="minorHAnsi"/>
          <w:color w:val="ED7D31" w:themeColor="accent2"/>
        </w:rPr>
      </w:pPr>
      <w:r w:rsidRPr="0049316D">
        <w:rPr>
          <w:rFonts w:cstheme="minorHAnsi"/>
          <w:b/>
          <w:bCs/>
          <w:color w:val="ED7D31" w:themeColor="accent2"/>
        </w:rPr>
        <w:t xml:space="preserve">POLS 5320 UNDERGRADUATE STUDENTS </w:t>
      </w:r>
    </w:p>
    <w:p w:rsidR="00991F36" w:rsidRDefault="0049316D" w:rsidP="0049316D">
      <w:pPr>
        <w:rPr>
          <w:rFonts w:ascii="Open Sans" w:hAnsi="Open Sans" w:cs="Open Sans"/>
        </w:rPr>
      </w:pPr>
      <w:r w:rsidRPr="0049316D">
        <w:rPr>
          <w:rFonts w:ascii="Open Sans" w:hAnsi="Open Sans" w:cs="Open Sans"/>
        </w:rPr>
        <w:t>Welcome - I am glad that you are here! Be aware that because POLS 5320 is cross-listed with the</w:t>
      </w:r>
      <w:r>
        <w:rPr>
          <w:rFonts w:ascii="Open Sans" w:hAnsi="Open Sans" w:cs="Open Sans"/>
        </w:rPr>
        <w:t xml:space="preserve"> Masters-level PADMN</w:t>
      </w:r>
      <w:r w:rsidRPr="0049316D">
        <w:rPr>
          <w:rFonts w:ascii="Open Sans" w:hAnsi="Open Sans" w:cs="Open Sans"/>
        </w:rPr>
        <w:t xml:space="preserve"> 6320, it is expected that all students enrolled in the course will meet expectations for graduate-level work. All expectations, requirements, and policies outlined for </w:t>
      </w:r>
      <w:r>
        <w:rPr>
          <w:rFonts w:ascii="Open Sans" w:hAnsi="Open Sans" w:cs="Open Sans"/>
        </w:rPr>
        <w:t>PADMN 6320 also ap</w:t>
      </w:r>
      <w:r w:rsidRPr="0049316D">
        <w:rPr>
          <w:rFonts w:ascii="Open Sans" w:hAnsi="Open Sans" w:cs="Open Sans"/>
        </w:rPr>
        <w:t xml:space="preserve">ply for POLS 5320 students. The one exception to this rule is in the course paper requirements: </w:t>
      </w:r>
      <w:r>
        <w:rPr>
          <w:rFonts w:ascii="Open Sans" w:hAnsi="Open Sans" w:cs="Open Sans"/>
        </w:rPr>
        <w:t>PADMN 6320 students will complete a c</w:t>
      </w:r>
      <w:r w:rsidRPr="0049316D">
        <w:rPr>
          <w:rFonts w:ascii="Open Sans" w:hAnsi="Open Sans" w:cs="Open Sans"/>
        </w:rPr>
        <w:t xml:space="preserve">omparative Policy Theory Paper, while POLS 5320 students will complete a Policy Theory Application Paper involving a single policy theory. </w:t>
      </w:r>
      <w:r>
        <w:rPr>
          <w:rFonts w:ascii="Open Sans" w:hAnsi="Open Sans" w:cs="Open Sans"/>
        </w:rPr>
        <w:t>Come and talk to me about how your paper will differ in its structure!</w:t>
      </w:r>
    </w:p>
    <w:p w:rsidR="00773495" w:rsidRPr="00773495" w:rsidRDefault="00773495" w:rsidP="0049316D">
      <w:pPr>
        <w:rPr>
          <w:rFonts w:ascii="Open Sans" w:hAnsi="Open Sans" w:cs="Open Sans"/>
        </w:rPr>
      </w:pPr>
    </w:p>
    <w:p w:rsidR="00773495" w:rsidRPr="00773495" w:rsidRDefault="00773495" w:rsidP="00773495">
      <w:pPr>
        <w:autoSpaceDE w:val="0"/>
        <w:autoSpaceDN w:val="0"/>
        <w:adjustRightInd w:val="0"/>
        <w:spacing w:after="0" w:line="240" w:lineRule="auto"/>
        <w:rPr>
          <w:rFonts w:cstheme="minorHAnsi"/>
          <w:sz w:val="36"/>
          <w:szCs w:val="36"/>
        </w:rPr>
      </w:pPr>
      <w:r w:rsidRPr="007A2A55">
        <w:rPr>
          <w:rFonts w:cstheme="minorHAnsi"/>
          <w:b/>
          <w:bCs/>
          <w:sz w:val="36"/>
          <w:szCs w:val="36"/>
        </w:rPr>
        <w:t>Role of the instructor and communication</w:t>
      </w:r>
      <w:r w:rsidRPr="00773495">
        <w:rPr>
          <w:rFonts w:cstheme="minorHAnsi"/>
          <w:b/>
          <w:bCs/>
          <w:sz w:val="36"/>
          <w:szCs w:val="36"/>
        </w:rPr>
        <w:t xml:space="preserve"> </w:t>
      </w:r>
    </w:p>
    <w:p w:rsidR="00773495" w:rsidRPr="00773495" w:rsidRDefault="00773495" w:rsidP="00773495">
      <w:pPr>
        <w:pStyle w:val="NoSpacing"/>
      </w:pPr>
      <w:r w:rsidRPr="00773495">
        <w:t>This course calls on students to exercise considerable discipline digesting content and completing assignments. You are encouraged to reach out to me should you encounter roadblocks, find yourself uncertain of a course element or requirement, or simply feel you would benefit from one-on-one communication. In-person office hours or a phone conversation can be arranged, and questions can be asked via Canvas email.</w:t>
      </w:r>
    </w:p>
    <w:p w:rsidR="00773495" w:rsidRDefault="00773495" w:rsidP="00773495">
      <w:pPr>
        <w:autoSpaceDE w:val="0"/>
        <w:autoSpaceDN w:val="0"/>
        <w:adjustRightInd w:val="0"/>
        <w:spacing w:after="0" w:line="240" w:lineRule="auto"/>
        <w:rPr>
          <w:rFonts w:cstheme="minorHAnsi"/>
        </w:rPr>
      </w:pPr>
    </w:p>
    <w:p w:rsidR="00773495" w:rsidRDefault="00773495" w:rsidP="00773495">
      <w:pPr>
        <w:autoSpaceDE w:val="0"/>
        <w:autoSpaceDN w:val="0"/>
        <w:adjustRightInd w:val="0"/>
        <w:spacing w:after="0" w:line="240" w:lineRule="auto"/>
        <w:rPr>
          <w:rFonts w:cstheme="minorHAnsi"/>
        </w:rPr>
      </w:pPr>
      <w:r w:rsidRPr="00773495">
        <w:rPr>
          <w:rFonts w:cstheme="minorHAnsi"/>
        </w:rPr>
        <w:t xml:space="preserve">All communications from the instructor will be sent using the Canvas </w:t>
      </w:r>
      <w:r>
        <w:rPr>
          <w:rFonts w:cstheme="minorHAnsi"/>
        </w:rPr>
        <w:t>email</w:t>
      </w:r>
      <w:r w:rsidRPr="00773495">
        <w:rPr>
          <w:rFonts w:cstheme="minorHAnsi"/>
        </w:rPr>
        <w:t xml:space="preserve"> feature; be sure to set your Canvas settings such that you are notified when messages are sent (see the Canvas Help page for assistance). All communications between students and the professor are to be respectful in content and professional in tone.</w:t>
      </w:r>
    </w:p>
    <w:p w:rsidR="007A2A55" w:rsidRDefault="007A2A55" w:rsidP="00773495">
      <w:pPr>
        <w:autoSpaceDE w:val="0"/>
        <w:autoSpaceDN w:val="0"/>
        <w:adjustRightInd w:val="0"/>
        <w:spacing w:after="0" w:line="240" w:lineRule="auto"/>
        <w:rPr>
          <w:rFonts w:cstheme="minorHAnsi"/>
        </w:rPr>
      </w:pPr>
    </w:p>
    <w:p w:rsidR="007A2A55" w:rsidRPr="007A2A55" w:rsidRDefault="007A2A55" w:rsidP="007A2A55">
      <w:pPr>
        <w:autoSpaceDE w:val="0"/>
        <w:autoSpaceDN w:val="0"/>
        <w:adjustRightInd w:val="0"/>
        <w:spacing w:after="0" w:line="240" w:lineRule="auto"/>
        <w:rPr>
          <w:rFonts w:ascii="Raleway" w:hAnsi="Raleway" w:cs="Raleway"/>
          <w:color w:val="000000"/>
          <w:sz w:val="24"/>
          <w:szCs w:val="24"/>
        </w:rPr>
      </w:pPr>
    </w:p>
    <w:p w:rsidR="007A2A55" w:rsidRPr="007A2A55" w:rsidRDefault="007A2A55" w:rsidP="007A2A55">
      <w:pPr>
        <w:autoSpaceDE w:val="0"/>
        <w:autoSpaceDN w:val="0"/>
        <w:adjustRightInd w:val="0"/>
        <w:spacing w:after="0" w:line="240" w:lineRule="auto"/>
        <w:rPr>
          <w:rFonts w:cstheme="minorHAnsi"/>
          <w:sz w:val="36"/>
          <w:szCs w:val="36"/>
        </w:rPr>
      </w:pPr>
      <w:r w:rsidRPr="007A2A55">
        <w:rPr>
          <w:rFonts w:cstheme="minorHAnsi"/>
          <w:b/>
          <w:bCs/>
          <w:sz w:val="36"/>
          <w:szCs w:val="36"/>
        </w:rPr>
        <w:t xml:space="preserve">Participation &amp; engagement in class </w:t>
      </w:r>
    </w:p>
    <w:p w:rsidR="007A2A55" w:rsidRPr="009068E2" w:rsidRDefault="007A2A55" w:rsidP="007A2A55">
      <w:pPr>
        <w:autoSpaceDE w:val="0"/>
        <w:autoSpaceDN w:val="0"/>
        <w:adjustRightInd w:val="0"/>
        <w:spacing w:after="0" w:line="240" w:lineRule="auto"/>
        <w:rPr>
          <w:rFonts w:cstheme="minorHAnsi"/>
          <w:color w:val="252525"/>
        </w:rPr>
      </w:pPr>
      <w:r w:rsidRPr="007A2A55">
        <w:rPr>
          <w:rFonts w:cstheme="minorHAnsi"/>
          <w:color w:val="252525"/>
        </w:rPr>
        <w:t xml:space="preserve">As this is </w:t>
      </w:r>
      <w:r w:rsidRPr="009068E2">
        <w:rPr>
          <w:rFonts w:cstheme="minorHAnsi"/>
          <w:color w:val="252525"/>
        </w:rPr>
        <w:t>a</w:t>
      </w:r>
      <w:r w:rsidRPr="007A2A55">
        <w:rPr>
          <w:rFonts w:cstheme="minorHAnsi"/>
          <w:color w:val="252525"/>
        </w:rPr>
        <w:t xml:space="preserve"> </w:t>
      </w:r>
      <w:r w:rsidRPr="009068E2">
        <w:rPr>
          <w:rFonts w:cstheme="minorHAnsi"/>
          <w:color w:val="252525"/>
        </w:rPr>
        <w:t>graduate</w:t>
      </w:r>
      <w:r w:rsidRPr="007A2A55">
        <w:rPr>
          <w:rFonts w:cstheme="minorHAnsi"/>
          <w:color w:val="252525"/>
        </w:rPr>
        <w:t xml:space="preserve"> course, your course success and the value you derive from it are highly dependent on course engagement. Effective engagement includes completing all assigned readings, critically processing the covered material, actively engaging in an integration of that material through course assignments, and online seminar postings and responses. A considerable portion of your course grade will be determined by your participation in </w:t>
      </w:r>
      <w:r w:rsidRPr="009068E2">
        <w:rPr>
          <w:rFonts w:cstheme="minorHAnsi"/>
          <w:color w:val="252525"/>
        </w:rPr>
        <w:t>our class</w:t>
      </w:r>
      <w:r w:rsidRPr="007A2A55">
        <w:rPr>
          <w:rFonts w:cstheme="minorHAnsi"/>
          <w:color w:val="252525"/>
        </w:rPr>
        <w:t xml:space="preserve"> seminars, as outlined in the Assignments Ove</w:t>
      </w:r>
      <w:r w:rsidRPr="009068E2">
        <w:rPr>
          <w:rFonts w:cstheme="minorHAnsi"/>
          <w:color w:val="252525"/>
        </w:rPr>
        <w:t>rview section of this syllabus.</w:t>
      </w:r>
    </w:p>
    <w:p w:rsidR="007A2A55" w:rsidRPr="007A2A55" w:rsidRDefault="007A2A55" w:rsidP="007A2A55">
      <w:pPr>
        <w:autoSpaceDE w:val="0"/>
        <w:autoSpaceDN w:val="0"/>
        <w:adjustRightInd w:val="0"/>
        <w:spacing w:after="0" w:line="240" w:lineRule="auto"/>
        <w:rPr>
          <w:rFonts w:cstheme="minorHAnsi"/>
          <w:color w:val="252525"/>
        </w:rPr>
      </w:pPr>
    </w:p>
    <w:p w:rsidR="007A2A55" w:rsidRPr="007A2A55" w:rsidRDefault="007A2A55" w:rsidP="007A2A55">
      <w:pPr>
        <w:autoSpaceDE w:val="0"/>
        <w:autoSpaceDN w:val="0"/>
        <w:adjustRightInd w:val="0"/>
        <w:spacing w:after="0" w:line="240" w:lineRule="auto"/>
        <w:rPr>
          <w:rFonts w:cstheme="minorHAnsi"/>
          <w:sz w:val="36"/>
          <w:szCs w:val="36"/>
        </w:rPr>
      </w:pPr>
      <w:r w:rsidRPr="007A2A55">
        <w:rPr>
          <w:rFonts w:cstheme="minorHAnsi"/>
          <w:b/>
          <w:bCs/>
          <w:sz w:val="36"/>
          <w:szCs w:val="36"/>
        </w:rPr>
        <w:lastRenderedPageBreak/>
        <w:t xml:space="preserve">Assignments </w:t>
      </w:r>
    </w:p>
    <w:p w:rsidR="007A2A55" w:rsidRPr="007A2A55" w:rsidRDefault="007A2A55" w:rsidP="007A2A55">
      <w:pPr>
        <w:autoSpaceDE w:val="0"/>
        <w:autoSpaceDN w:val="0"/>
        <w:adjustRightInd w:val="0"/>
        <w:spacing w:after="0" w:line="240" w:lineRule="auto"/>
        <w:rPr>
          <w:rFonts w:cstheme="minorHAnsi"/>
          <w:color w:val="252525"/>
        </w:rPr>
      </w:pPr>
      <w:r w:rsidRPr="007A2A55">
        <w:rPr>
          <w:rFonts w:cstheme="minorHAnsi"/>
          <w:color w:val="252525"/>
        </w:rPr>
        <w:t xml:space="preserve">Unless assignment instructions indicate otherwise, all assignments </w:t>
      </w:r>
      <w:r w:rsidRPr="009068E2">
        <w:rPr>
          <w:rFonts w:cstheme="minorHAnsi"/>
          <w:color w:val="252525"/>
        </w:rPr>
        <w:t xml:space="preserve">should be </w:t>
      </w:r>
      <w:r w:rsidRPr="007A2A55">
        <w:rPr>
          <w:rFonts w:cstheme="minorHAnsi"/>
          <w:color w:val="252525"/>
        </w:rPr>
        <w:t xml:space="preserve">submitted in 12 point font with one-inch margins. References and citations </w:t>
      </w:r>
      <w:r w:rsidRPr="009068E2">
        <w:rPr>
          <w:rFonts w:cstheme="minorHAnsi"/>
          <w:color w:val="252525"/>
        </w:rPr>
        <w:t>should</w:t>
      </w:r>
      <w:r w:rsidRPr="007A2A55">
        <w:rPr>
          <w:rFonts w:cstheme="minorHAnsi"/>
          <w:color w:val="252525"/>
        </w:rPr>
        <w:t xml:space="preserve"> follow</w:t>
      </w:r>
      <w:r w:rsidRPr="009068E2">
        <w:rPr>
          <w:rFonts w:cstheme="minorHAnsi"/>
          <w:color w:val="252525"/>
        </w:rPr>
        <w:t xml:space="preserve"> the</w:t>
      </w:r>
      <w:r w:rsidRPr="007A2A55">
        <w:rPr>
          <w:rFonts w:cstheme="minorHAnsi"/>
          <w:color w:val="252525"/>
        </w:rPr>
        <w:t xml:space="preserve"> American Psychological Association style</w:t>
      </w:r>
      <w:r w:rsidRPr="009068E2">
        <w:rPr>
          <w:rFonts w:cstheme="minorHAnsi"/>
          <w:color w:val="252525"/>
        </w:rPr>
        <w:t xml:space="preserve"> for referencing</w:t>
      </w:r>
      <w:r w:rsidRPr="007A2A55">
        <w:rPr>
          <w:rFonts w:cstheme="minorHAnsi"/>
          <w:color w:val="252525"/>
        </w:rPr>
        <w:t xml:space="preserve">. Written assignments are to be submitted via Canvas in </w:t>
      </w:r>
      <w:r w:rsidRPr="009068E2">
        <w:rPr>
          <w:rFonts w:cstheme="minorHAnsi"/>
          <w:color w:val="252525"/>
        </w:rPr>
        <w:t xml:space="preserve">doc, </w:t>
      </w:r>
      <w:proofErr w:type="spellStart"/>
      <w:r w:rsidRPr="009068E2">
        <w:rPr>
          <w:rFonts w:cstheme="minorHAnsi"/>
          <w:color w:val="252525"/>
        </w:rPr>
        <w:t>docx</w:t>
      </w:r>
      <w:proofErr w:type="spellEnd"/>
      <w:r w:rsidRPr="009068E2">
        <w:rPr>
          <w:rFonts w:cstheme="minorHAnsi"/>
          <w:color w:val="252525"/>
        </w:rPr>
        <w:t xml:space="preserve"> or txt formats</w:t>
      </w:r>
      <w:r w:rsidRPr="007A2A55">
        <w:rPr>
          <w:rFonts w:cstheme="minorHAnsi"/>
          <w:color w:val="252525"/>
        </w:rPr>
        <w:t xml:space="preserve">. Assignments are to be submitted via Canvas by 11:59 p.m. on the </w:t>
      </w:r>
      <w:r w:rsidRPr="009068E2">
        <w:rPr>
          <w:rFonts w:cstheme="minorHAnsi"/>
          <w:color w:val="252525"/>
        </w:rPr>
        <w:t>day they are due</w:t>
      </w:r>
      <w:r w:rsidRPr="007A2A55">
        <w:rPr>
          <w:rFonts w:cstheme="minorHAnsi"/>
          <w:color w:val="252525"/>
        </w:rPr>
        <w:t xml:space="preserve">. </w:t>
      </w:r>
    </w:p>
    <w:p w:rsidR="007A2A55" w:rsidRPr="009068E2" w:rsidRDefault="007A2A55" w:rsidP="007A2A55">
      <w:pPr>
        <w:autoSpaceDE w:val="0"/>
        <w:autoSpaceDN w:val="0"/>
        <w:adjustRightInd w:val="0"/>
        <w:spacing w:after="0" w:line="240" w:lineRule="auto"/>
        <w:rPr>
          <w:rFonts w:cstheme="minorHAnsi"/>
          <w:color w:val="252525"/>
        </w:rPr>
      </w:pPr>
    </w:p>
    <w:p w:rsidR="007A2A55" w:rsidRPr="009068E2" w:rsidRDefault="007A2A55" w:rsidP="007A2A55">
      <w:pPr>
        <w:autoSpaceDE w:val="0"/>
        <w:autoSpaceDN w:val="0"/>
        <w:adjustRightInd w:val="0"/>
        <w:spacing w:after="0" w:line="240" w:lineRule="auto"/>
        <w:rPr>
          <w:rFonts w:cstheme="minorHAnsi"/>
          <w:color w:val="252525"/>
        </w:rPr>
      </w:pPr>
      <w:r w:rsidRPr="007A2A55">
        <w:rPr>
          <w:rFonts w:cstheme="minorHAnsi"/>
          <w:color w:val="252525"/>
        </w:rPr>
        <w:t xml:space="preserve">Late </w:t>
      </w:r>
      <w:r w:rsidRPr="009068E2">
        <w:rPr>
          <w:rFonts w:cstheme="minorHAnsi"/>
          <w:color w:val="252525"/>
        </w:rPr>
        <w:t>submissions will be accepted but docked half a grade each week past the assigned deadline.</w:t>
      </w:r>
    </w:p>
    <w:p w:rsidR="007A2A55" w:rsidRDefault="007A2A55" w:rsidP="007A2A55">
      <w:pPr>
        <w:autoSpaceDE w:val="0"/>
        <w:autoSpaceDN w:val="0"/>
        <w:adjustRightInd w:val="0"/>
        <w:spacing w:after="0" w:line="240" w:lineRule="auto"/>
        <w:rPr>
          <w:rFonts w:cstheme="minorHAnsi"/>
          <w:color w:val="252525"/>
        </w:rPr>
      </w:pPr>
    </w:p>
    <w:p w:rsidR="00B70C21" w:rsidRDefault="00B70C21" w:rsidP="007A2A55">
      <w:pPr>
        <w:autoSpaceDE w:val="0"/>
        <w:autoSpaceDN w:val="0"/>
        <w:adjustRightInd w:val="0"/>
        <w:spacing w:after="0" w:line="240" w:lineRule="auto"/>
        <w:rPr>
          <w:rFonts w:cstheme="minorHAnsi"/>
          <w:color w:val="252525"/>
        </w:rPr>
      </w:pPr>
    </w:p>
    <w:tbl>
      <w:tblPr>
        <w:tblStyle w:val="TableGrid"/>
        <w:tblW w:w="0" w:type="auto"/>
        <w:tblLook w:val="04A0" w:firstRow="1" w:lastRow="0" w:firstColumn="1" w:lastColumn="0" w:noHBand="0" w:noVBand="1"/>
      </w:tblPr>
      <w:tblGrid>
        <w:gridCol w:w="3237"/>
        <w:gridCol w:w="3237"/>
        <w:gridCol w:w="3238"/>
        <w:gridCol w:w="3238"/>
      </w:tblGrid>
      <w:tr w:rsidR="00B70C21" w:rsidTr="00B70C21">
        <w:tc>
          <w:tcPr>
            <w:tcW w:w="3237" w:type="dxa"/>
            <w:tcBorders>
              <w:bottom w:val="single" w:sz="4" w:space="0" w:color="auto"/>
            </w:tcBorders>
          </w:tcPr>
          <w:p w:rsidR="00B70C21" w:rsidRDefault="00B70C21" w:rsidP="007A2A55">
            <w:pPr>
              <w:autoSpaceDE w:val="0"/>
              <w:autoSpaceDN w:val="0"/>
              <w:adjustRightInd w:val="0"/>
              <w:rPr>
                <w:rFonts w:cstheme="minorHAnsi"/>
                <w:color w:val="252525"/>
              </w:rPr>
            </w:pPr>
            <w:r w:rsidRPr="007A2A55">
              <w:rPr>
                <w:rFonts w:cstheme="minorHAnsi"/>
                <w:b/>
                <w:bCs/>
                <w:color w:val="ED7D31" w:themeColor="accent2"/>
              </w:rPr>
              <w:t>A</w:t>
            </w:r>
            <w:r>
              <w:rPr>
                <w:rFonts w:cstheme="minorHAnsi"/>
                <w:b/>
                <w:bCs/>
                <w:color w:val="ED7D31" w:themeColor="accent2"/>
              </w:rPr>
              <w:t>SSIGNMENT OVERVIEW</w:t>
            </w:r>
          </w:p>
        </w:tc>
        <w:tc>
          <w:tcPr>
            <w:tcW w:w="3237" w:type="dxa"/>
            <w:tcBorders>
              <w:bottom w:val="single" w:sz="4" w:space="0" w:color="auto"/>
            </w:tcBorders>
          </w:tcPr>
          <w:p w:rsidR="00B70C21" w:rsidRDefault="00B70C21" w:rsidP="007A2A55">
            <w:pPr>
              <w:autoSpaceDE w:val="0"/>
              <w:autoSpaceDN w:val="0"/>
              <w:adjustRightInd w:val="0"/>
              <w:rPr>
                <w:rFonts w:cstheme="minorHAnsi"/>
                <w:color w:val="252525"/>
              </w:rPr>
            </w:pPr>
            <w:r>
              <w:rPr>
                <w:rFonts w:cstheme="minorHAnsi"/>
                <w:b/>
                <w:bCs/>
                <w:color w:val="ED7D31" w:themeColor="accent2"/>
              </w:rPr>
              <w:t>Instruction</w:t>
            </w:r>
          </w:p>
        </w:tc>
        <w:tc>
          <w:tcPr>
            <w:tcW w:w="3238" w:type="dxa"/>
            <w:tcBorders>
              <w:bottom w:val="single" w:sz="4" w:space="0" w:color="auto"/>
            </w:tcBorders>
          </w:tcPr>
          <w:p w:rsidR="00B70C21" w:rsidRDefault="00B70C21" w:rsidP="007A2A55">
            <w:pPr>
              <w:autoSpaceDE w:val="0"/>
              <w:autoSpaceDN w:val="0"/>
              <w:adjustRightInd w:val="0"/>
              <w:rPr>
                <w:rFonts w:cstheme="minorHAnsi"/>
                <w:color w:val="252525"/>
              </w:rPr>
            </w:pPr>
            <w:r>
              <w:rPr>
                <w:rFonts w:cstheme="minorHAnsi"/>
                <w:b/>
                <w:bCs/>
                <w:color w:val="ED7D31" w:themeColor="accent2"/>
              </w:rPr>
              <w:t>Points/grade scale</w:t>
            </w:r>
          </w:p>
        </w:tc>
        <w:tc>
          <w:tcPr>
            <w:tcW w:w="3238" w:type="dxa"/>
            <w:tcBorders>
              <w:bottom w:val="single" w:sz="4" w:space="0" w:color="auto"/>
            </w:tcBorders>
          </w:tcPr>
          <w:p w:rsidR="00B70C21" w:rsidRDefault="00B70C21" w:rsidP="007A2A55">
            <w:pPr>
              <w:autoSpaceDE w:val="0"/>
              <w:autoSpaceDN w:val="0"/>
              <w:adjustRightInd w:val="0"/>
              <w:rPr>
                <w:rFonts w:cstheme="minorHAnsi"/>
                <w:color w:val="252525"/>
              </w:rPr>
            </w:pPr>
            <w:r>
              <w:rPr>
                <w:rFonts w:cstheme="minorHAnsi"/>
                <w:b/>
                <w:bCs/>
                <w:color w:val="ED7D31" w:themeColor="accent2"/>
              </w:rPr>
              <w:t>Overall percentage of final grade</w:t>
            </w:r>
          </w:p>
        </w:tc>
      </w:tr>
      <w:tr w:rsidR="00B70C21" w:rsidTr="003B6C37">
        <w:tc>
          <w:tcPr>
            <w:tcW w:w="3237" w:type="dxa"/>
            <w:tcBorders>
              <w:right w:val="nil"/>
            </w:tcBorders>
            <w:shd w:val="clear" w:color="auto" w:fill="FFF2CC" w:themeFill="accent4" w:themeFillTint="33"/>
          </w:tcPr>
          <w:p w:rsidR="00B70C21" w:rsidRPr="00B70C21" w:rsidRDefault="00B70C21" w:rsidP="00B70C21">
            <w:r>
              <w:t>Group assignments</w:t>
            </w:r>
          </w:p>
        </w:tc>
        <w:tc>
          <w:tcPr>
            <w:tcW w:w="3237" w:type="dxa"/>
            <w:tcBorders>
              <w:left w:val="nil"/>
              <w:right w:val="nil"/>
            </w:tcBorders>
            <w:shd w:val="clear" w:color="auto" w:fill="FFF2CC" w:themeFill="accent4" w:themeFillTint="33"/>
          </w:tcPr>
          <w:p w:rsidR="00B70C21" w:rsidRDefault="00B70C21" w:rsidP="00B70C21">
            <w:pPr>
              <w:pStyle w:val="NoSpacing"/>
              <w:rPr>
                <w:rFonts w:cstheme="minorHAnsi"/>
                <w:color w:val="252525"/>
              </w:rPr>
            </w:pPr>
          </w:p>
        </w:tc>
        <w:tc>
          <w:tcPr>
            <w:tcW w:w="3238" w:type="dxa"/>
            <w:tcBorders>
              <w:left w:val="nil"/>
              <w:right w:val="nil"/>
            </w:tcBorders>
            <w:shd w:val="clear" w:color="auto" w:fill="FFF2CC" w:themeFill="accent4" w:themeFillTint="33"/>
          </w:tcPr>
          <w:p w:rsidR="00B70C21" w:rsidRDefault="00B70C21" w:rsidP="007A2A55">
            <w:pPr>
              <w:autoSpaceDE w:val="0"/>
              <w:autoSpaceDN w:val="0"/>
              <w:adjustRightInd w:val="0"/>
              <w:rPr>
                <w:rFonts w:cstheme="minorHAnsi"/>
                <w:color w:val="252525"/>
              </w:rPr>
            </w:pPr>
          </w:p>
        </w:tc>
        <w:tc>
          <w:tcPr>
            <w:tcW w:w="3238" w:type="dxa"/>
            <w:tcBorders>
              <w:left w:val="nil"/>
            </w:tcBorders>
            <w:shd w:val="clear" w:color="auto" w:fill="FFF2CC" w:themeFill="accent4" w:themeFillTint="33"/>
          </w:tcPr>
          <w:p w:rsidR="00B70C21" w:rsidRDefault="00B70C21" w:rsidP="007A2A55">
            <w:pPr>
              <w:autoSpaceDE w:val="0"/>
              <w:autoSpaceDN w:val="0"/>
              <w:adjustRightInd w:val="0"/>
              <w:rPr>
                <w:rFonts w:cstheme="minorHAnsi"/>
                <w:color w:val="252525"/>
              </w:rPr>
            </w:pPr>
          </w:p>
        </w:tc>
      </w:tr>
      <w:tr w:rsidR="00B70C21" w:rsidTr="00B70C21">
        <w:tc>
          <w:tcPr>
            <w:tcW w:w="3237" w:type="dxa"/>
          </w:tcPr>
          <w:p w:rsidR="00B70C21" w:rsidRDefault="00B70C21" w:rsidP="007A2A55">
            <w:pPr>
              <w:autoSpaceDE w:val="0"/>
              <w:autoSpaceDN w:val="0"/>
              <w:adjustRightInd w:val="0"/>
              <w:rPr>
                <w:rFonts w:cstheme="minorHAnsi"/>
                <w:color w:val="252525"/>
              </w:rPr>
            </w:pPr>
            <w:r>
              <w:rPr>
                <w:color w:val="4472C4" w:themeColor="accent5"/>
              </w:rPr>
              <w:t>Stakeholder map</w:t>
            </w:r>
          </w:p>
        </w:tc>
        <w:tc>
          <w:tcPr>
            <w:tcW w:w="3237" w:type="dxa"/>
          </w:tcPr>
          <w:p w:rsidR="00B70C21" w:rsidRPr="00EA7029" w:rsidRDefault="00B70C21" w:rsidP="007A2A55">
            <w:pPr>
              <w:autoSpaceDE w:val="0"/>
              <w:autoSpaceDN w:val="0"/>
              <w:adjustRightInd w:val="0"/>
              <w:rPr>
                <w:rFonts w:cstheme="minorHAnsi"/>
                <w:color w:val="252525"/>
                <w:sz w:val="20"/>
                <w:szCs w:val="20"/>
              </w:rPr>
            </w:pPr>
            <w:r w:rsidRPr="00EA7029">
              <w:rPr>
                <w:sz w:val="20"/>
                <w:szCs w:val="20"/>
              </w:rPr>
              <w:t>Work on in class as a group, finish as a group outside of class and submit through Canvas.</w:t>
            </w:r>
          </w:p>
        </w:tc>
        <w:tc>
          <w:tcPr>
            <w:tcW w:w="3238" w:type="dxa"/>
          </w:tcPr>
          <w:p w:rsidR="00B70C21" w:rsidRDefault="00B70C21" w:rsidP="007A2A55">
            <w:pPr>
              <w:autoSpaceDE w:val="0"/>
              <w:autoSpaceDN w:val="0"/>
              <w:adjustRightInd w:val="0"/>
              <w:rPr>
                <w:rFonts w:cstheme="minorHAnsi"/>
                <w:color w:val="252525"/>
              </w:rPr>
            </w:pPr>
          </w:p>
        </w:tc>
        <w:tc>
          <w:tcPr>
            <w:tcW w:w="3238" w:type="dxa"/>
          </w:tcPr>
          <w:p w:rsidR="00B70C21" w:rsidRDefault="003B6C37" w:rsidP="007A2A55">
            <w:pPr>
              <w:autoSpaceDE w:val="0"/>
              <w:autoSpaceDN w:val="0"/>
              <w:adjustRightInd w:val="0"/>
              <w:rPr>
                <w:rFonts w:cstheme="minorHAnsi"/>
                <w:color w:val="252525"/>
              </w:rPr>
            </w:pPr>
            <w:r>
              <w:rPr>
                <w:rFonts w:cstheme="minorHAnsi"/>
                <w:color w:val="252525"/>
              </w:rPr>
              <w:t>5%</w:t>
            </w:r>
          </w:p>
        </w:tc>
      </w:tr>
      <w:tr w:rsidR="00B70C21" w:rsidTr="00B70C21">
        <w:tc>
          <w:tcPr>
            <w:tcW w:w="3237" w:type="dxa"/>
          </w:tcPr>
          <w:p w:rsidR="00B70C21" w:rsidRDefault="00B70C21" w:rsidP="007A2A55">
            <w:pPr>
              <w:autoSpaceDE w:val="0"/>
              <w:autoSpaceDN w:val="0"/>
              <w:adjustRightInd w:val="0"/>
              <w:rPr>
                <w:rFonts w:cstheme="minorHAnsi"/>
                <w:color w:val="252525"/>
              </w:rPr>
            </w:pPr>
            <w:r>
              <w:rPr>
                <w:color w:val="4472C4" w:themeColor="accent5"/>
              </w:rPr>
              <w:t>Regulatory map</w:t>
            </w:r>
          </w:p>
        </w:tc>
        <w:tc>
          <w:tcPr>
            <w:tcW w:w="3237" w:type="dxa"/>
          </w:tcPr>
          <w:p w:rsidR="00B70C21" w:rsidRPr="00EA7029" w:rsidRDefault="00B70C21" w:rsidP="007A2A55">
            <w:pPr>
              <w:autoSpaceDE w:val="0"/>
              <w:autoSpaceDN w:val="0"/>
              <w:adjustRightInd w:val="0"/>
              <w:rPr>
                <w:rFonts w:cstheme="minorHAnsi"/>
                <w:sz w:val="20"/>
                <w:szCs w:val="20"/>
              </w:rPr>
            </w:pPr>
            <w:r w:rsidRPr="00EA7029">
              <w:rPr>
                <w:sz w:val="20"/>
                <w:szCs w:val="20"/>
              </w:rPr>
              <w:t>Work on in class as a group, finish as a group outside of class and submit through Canvas.</w:t>
            </w:r>
          </w:p>
        </w:tc>
        <w:tc>
          <w:tcPr>
            <w:tcW w:w="3238" w:type="dxa"/>
          </w:tcPr>
          <w:p w:rsidR="00B70C21" w:rsidRDefault="00B70C21" w:rsidP="007A2A55">
            <w:pPr>
              <w:autoSpaceDE w:val="0"/>
              <w:autoSpaceDN w:val="0"/>
              <w:adjustRightInd w:val="0"/>
              <w:rPr>
                <w:rFonts w:cstheme="minorHAnsi"/>
                <w:color w:val="252525"/>
              </w:rPr>
            </w:pPr>
          </w:p>
        </w:tc>
        <w:tc>
          <w:tcPr>
            <w:tcW w:w="3238" w:type="dxa"/>
          </w:tcPr>
          <w:p w:rsidR="00B70C21" w:rsidRDefault="003B6C37" w:rsidP="007A2A55">
            <w:pPr>
              <w:autoSpaceDE w:val="0"/>
              <w:autoSpaceDN w:val="0"/>
              <w:adjustRightInd w:val="0"/>
              <w:rPr>
                <w:rFonts w:cstheme="minorHAnsi"/>
                <w:color w:val="252525"/>
              </w:rPr>
            </w:pPr>
            <w:r>
              <w:rPr>
                <w:rFonts w:cstheme="minorHAnsi"/>
                <w:color w:val="252525"/>
              </w:rPr>
              <w:t>5%</w:t>
            </w:r>
          </w:p>
        </w:tc>
      </w:tr>
      <w:tr w:rsidR="00B70C21" w:rsidTr="00B70C21">
        <w:tc>
          <w:tcPr>
            <w:tcW w:w="3237" w:type="dxa"/>
          </w:tcPr>
          <w:p w:rsidR="00B70C21" w:rsidRDefault="00B70C21" w:rsidP="007A2A55">
            <w:pPr>
              <w:autoSpaceDE w:val="0"/>
              <w:autoSpaceDN w:val="0"/>
              <w:adjustRightInd w:val="0"/>
              <w:rPr>
                <w:rFonts w:cstheme="minorHAnsi"/>
                <w:color w:val="252525"/>
              </w:rPr>
            </w:pPr>
            <w:r w:rsidRPr="00B70C21">
              <w:rPr>
                <w:color w:val="4472C4" w:themeColor="accent5"/>
              </w:rPr>
              <w:t>Policy map</w:t>
            </w:r>
          </w:p>
        </w:tc>
        <w:tc>
          <w:tcPr>
            <w:tcW w:w="3237" w:type="dxa"/>
          </w:tcPr>
          <w:p w:rsidR="00B70C21" w:rsidRPr="00EA7029" w:rsidRDefault="00B70C21" w:rsidP="007A2A55">
            <w:pPr>
              <w:autoSpaceDE w:val="0"/>
              <w:autoSpaceDN w:val="0"/>
              <w:adjustRightInd w:val="0"/>
              <w:rPr>
                <w:rFonts w:cstheme="minorHAnsi"/>
                <w:sz w:val="20"/>
                <w:szCs w:val="20"/>
              </w:rPr>
            </w:pPr>
            <w:r w:rsidRPr="00EA7029">
              <w:rPr>
                <w:sz w:val="20"/>
                <w:szCs w:val="20"/>
              </w:rPr>
              <w:t>Work on in class as a group, finish as a group outside of class and submit through Canvas.</w:t>
            </w:r>
          </w:p>
        </w:tc>
        <w:tc>
          <w:tcPr>
            <w:tcW w:w="3238" w:type="dxa"/>
          </w:tcPr>
          <w:p w:rsidR="00B70C21" w:rsidRDefault="00B70C21" w:rsidP="007A2A55">
            <w:pPr>
              <w:autoSpaceDE w:val="0"/>
              <w:autoSpaceDN w:val="0"/>
              <w:adjustRightInd w:val="0"/>
              <w:rPr>
                <w:rFonts w:cstheme="minorHAnsi"/>
                <w:color w:val="252525"/>
              </w:rPr>
            </w:pPr>
          </w:p>
        </w:tc>
        <w:tc>
          <w:tcPr>
            <w:tcW w:w="3238" w:type="dxa"/>
          </w:tcPr>
          <w:p w:rsidR="00B70C21" w:rsidRDefault="003B6C37" w:rsidP="007A2A55">
            <w:pPr>
              <w:autoSpaceDE w:val="0"/>
              <w:autoSpaceDN w:val="0"/>
              <w:adjustRightInd w:val="0"/>
              <w:rPr>
                <w:rFonts w:cstheme="minorHAnsi"/>
                <w:color w:val="252525"/>
              </w:rPr>
            </w:pPr>
            <w:r>
              <w:rPr>
                <w:rFonts w:cstheme="minorHAnsi"/>
                <w:color w:val="252525"/>
              </w:rPr>
              <w:t>5%</w:t>
            </w:r>
          </w:p>
        </w:tc>
      </w:tr>
      <w:tr w:rsidR="00B70C21" w:rsidTr="003B6C37">
        <w:tc>
          <w:tcPr>
            <w:tcW w:w="3237" w:type="dxa"/>
            <w:shd w:val="clear" w:color="auto" w:fill="FFF2CC" w:themeFill="accent4" w:themeFillTint="33"/>
          </w:tcPr>
          <w:p w:rsidR="00B70C21" w:rsidRPr="003603EE" w:rsidRDefault="003603EE" w:rsidP="003603EE">
            <w:r>
              <w:t>Peer feedback</w:t>
            </w:r>
          </w:p>
        </w:tc>
        <w:tc>
          <w:tcPr>
            <w:tcW w:w="3237" w:type="dxa"/>
            <w:shd w:val="clear" w:color="auto" w:fill="FFF2CC" w:themeFill="accent4" w:themeFillTint="33"/>
          </w:tcPr>
          <w:p w:rsidR="00B70C21" w:rsidRPr="00EA7029" w:rsidRDefault="00B70C21" w:rsidP="007A2A55">
            <w:pPr>
              <w:autoSpaceDE w:val="0"/>
              <w:autoSpaceDN w:val="0"/>
              <w:adjustRightInd w:val="0"/>
              <w:rPr>
                <w:rFonts w:cstheme="minorHAnsi"/>
                <w:color w:val="252525"/>
                <w:sz w:val="20"/>
                <w:szCs w:val="20"/>
              </w:rPr>
            </w:pPr>
          </w:p>
        </w:tc>
        <w:tc>
          <w:tcPr>
            <w:tcW w:w="3238" w:type="dxa"/>
            <w:shd w:val="clear" w:color="auto" w:fill="FFF2CC" w:themeFill="accent4" w:themeFillTint="33"/>
          </w:tcPr>
          <w:p w:rsidR="00B70C21" w:rsidRDefault="00B70C21" w:rsidP="007A2A55">
            <w:pPr>
              <w:autoSpaceDE w:val="0"/>
              <w:autoSpaceDN w:val="0"/>
              <w:adjustRightInd w:val="0"/>
              <w:rPr>
                <w:rFonts w:cstheme="minorHAnsi"/>
                <w:color w:val="252525"/>
              </w:rPr>
            </w:pPr>
          </w:p>
        </w:tc>
        <w:tc>
          <w:tcPr>
            <w:tcW w:w="3238" w:type="dxa"/>
            <w:shd w:val="clear" w:color="auto" w:fill="FFF2CC" w:themeFill="accent4" w:themeFillTint="33"/>
          </w:tcPr>
          <w:p w:rsidR="00B70C21" w:rsidRDefault="00B70C21" w:rsidP="007A2A55">
            <w:pPr>
              <w:autoSpaceDE w:val="0"/>
              <w:autoSpaceDN w:val="0"/>
              <w:adjustRightInd w:val="0"/>
              <w:rPr>
                <w:rFonts w:cstheme="minorHAnsi"/>
                <w:color w:val="252525"/>
              </w:rPr>
            </w:pPr>
          </w:p>
        </w:tc>
      </w:tr>
      <w:tr w:rsidR="003603EE" w:rsidTr="00B70C21">
        <w:tc>
          <w:tcPr>
            <w:tcW w:w="3237" w:type="dxa"/>
          </w:tcPr>
          <w:p w:rsidR="003603EE" w:rsidRPr="003603EE" w:rsidRDefault="003731F4" w:rsidP="003603EE">
            <w:pPr>
              <w:rPr>
                <w:color w:val="4472C4" w:themeColor="accent5"/>
              </w:rPr>
            </w:pPr>
            <w:r>
              <w:rPr>
                <w:color w:val="4472C4" w:themeColor="accent5"/>
              </w:rPr>
              <w:t>2</w:t>
            </w:r>
            <w:r w:rsidR="003603EE" w:rsidRPr="00B70C21">
              <w:rPr>
                <w:color w:val="4472C4" w:themeColor="accent5"/>
              </w:rPr>
              <w:t xml:space="preserve"> other group’s stakeholder map</w:t>
            </w:r>
          </w:p>
        </w:tc>
        <w:tc>
          <w:tcPr>
            <w:tcW w:w="3237" w:type="dxa"/>
          </w:tcPr>
          <w:p w:rsidR="003603EE" w:rsidRPr="00EA7029" w:rsidRDefault="003603EE" w:rsidP="003731F4">
            <w:pPr>
              <w:autoSpaceDE w:val="0"/>
              <w:autoSpaceDN w:val="0"/>
              <w:adjustRightInd w:val="0"/>
              <w:rPr>
                <w:rFonts w:cstheme="minorHAnsi"/>
                <w:color w:val="252525"/>
                <w:sz w:val="20"/>
                <w:szCs w:val="20"/>
              </w:rPr>
            </w:pPr>
            <w:r w:rsidRPr="00EA7029">
              <w:rPr>
                <w:rFonts w:cstheme="minorHAnsi"/>
                <w:color w:val="252525"/>
                <w:sz w:val="20"/>
                <w:szCs w:val="20"/>
              </w:rPr>
              <w:t xml:space="preserve">You will be randomly assigned </w:t>
            </w:r>
            <w:r w:rsidR="003731F4">
              <w:rPr>
                <w:rFonts w:cstheme="minorHAnsi"/>
                <w:color w:val="252525"/>
                <w:sz w:val="20"/>
                <w:szCs w:val="20"/>
              </w:rPr>
              <w:t>two group</w:t>
            </w:r>
            <w:r w:rsidRPr="00EA7029">
              <w:rPr>
                <w:rFonts w:cstheme="minorHAnsi"/>
                <w:color w:val="252525"/>
                <w:sz w:val="20"/>
                <w:szCs w:val="20"/>
              </w:rPr>
              <w:t>s</w:t>
            </w:r>
            <w:r w:rsidR="003731F4">
              <w:rPr>
                <w:rFonts w:cstheme="minorHAnsi"/>
                <w:color w:val="252525"/>
                <w:sz w:val="20"/>
                <w:szCs w:val="20"/>
              </w:rPr>
              <w:t>’</w:t>
            </w:r>
            <w:r w:rsidRPr="00EA7029">
              <w:rPr>
                <w:rFonts w:cstheme="minorHAnsi"/>
                <w:color w:val="252525"/>
                <w:sz w:val="20"/>
                <w:szCs w:val="20"/>
              </w:rPr>
              <w:t xml:space="preserve"> work to comment on. You will find the maps in Canvas and you should complete the assignment individually. Written feedback is required.</w:t>
            </w:r>
          </w:p>
        </w:tc>
        <w:tc>
          <w:tcPr>
            <w:tcW w:w="3238" w:type="dxa"/>
          </w:tcPr>
          <w:p w:rsidR="003603EE" w:rsidRDefault="003603EE" w:rsidP="007A2A55">
            <w:pPr>
              <w:autoSpaceDE w:val="0"/>
              <w:autoSpaceDN w:val="0"/>
              <w:adjustRightInd w:val="0"/>
              <w:rPr>
                <w:rFonts w:cstheme="minorHAnsi"/>
                <w:color w:val="252525"/>
              </w:rPr>
            </w:pPr>
          </w:p>
        </w:tc>
        <w:tc>
          <w:tcPr>
            <w:tcW w:w="3238" w:type="dxa"/>
          </w:tcPr>
          <w:p w:rsidR="003603EE" w:rsidRDefault="003B6C37" w:rsidP="007A2A55">
            <w:pPr>
              <w:autoSpaceDE w:val="0"/>
              <w:autoSpaceDN w:val="0"/>
              <w:adjustRightInd w:val="0"/>
              <w:rPr>
                <w:rFonts w:cstheme="minorHAnsi"/>
                <w:color w:val="252525"/>
              </w:rPr>
            </w:pPr>
            <w:r>
              <w:rPr>
                <w:rFonts w:cstheme="minorHAnsi"/>
                <w:color w:val="252525"/>
              </w:rPr>
              <w:t>0%</w:t>
            </w:r>
          </w:p>
        </w:tc>
      </w:tr>
      <w:tr w:rsidR="003603EE" w:rsidTr="00B70C21">
        <w:tc>
          <w:tcPr>
            <w:tcW w:w="3237" w:type="dxa"/>
          </w:tcPr>
          <w:p w:rsidR="003603EE" w:rsidRPr="003603EE" w:rsidRDefault="003731F4" w:rsidP="003603EE">
            <w:pPr>
              <w:rPr>
                <w:color w:val="4472C4" w:themeColor="accent5"/>
              </w:rPr>
            </w:pPr>
            <w:r>
              <w:rPr>
                <w:color w:val="4472C4" w:themeColor="accent5"/>
              </w:rPr>
              <w:t>1</w:t>
            </w:r>
            <w:r w:rsidR="003603EE" w:rsidRPr="00B70C21">
              <w:rPr>
                <w:color w:val="4472C4" w:themeColor="accent5"/>
              </w:rPr>
              <w:t xml:space="preserve"> other groups’ regulatory maps</w:t>
            </w:r>
          </w:p>
        </w:tc>
        <w:tc>
          <w:tcPr>
            <w:tcW w:w="3237" w:type="dxa"/>
          </w:tcPr>
          <w:p w:rsidR="003603EE" w:rsidRPr="00EA7029" w:rsidRDefault="003603EE" w:rsidP="007A2A55">
            <w:pPr>
              <w:autoSpaceDE w:val="0"/>
              <w:autoSpaceDN w:val="0"/>
              <w:adjustRightInd w:val="0"/>
              <w:rPr>
                <w:rFonts w:cstheme="minorHAnsi"/>
                <w:color w:val="252525"/>
                <w:sz w:val="20"/>
                <w:szCs w:val="20"/>
              </w:rPr>
            </w:pPr>
            <w:r w:rsidRPr="00EA7029">
              <w:rPr>
                <w:rFonts w:cstheme="minorHAnsi"/>
                <w:color w:val="252525"/>
                <w:sz w:val="20"/>
                <w:szCs w:val="20"/>
              </w:rPr>
              <w:t>You will be randomly assigned one group’s work to comment on. You will find the maps in Canvas and you should complete the assignment individually. Written feedback is required.</w:t>
            </w:r>
          </w:p>
        </w:tc>
        <w:tc>
          <w:tcPr>
            <w:tcW w:w="3238" w:type="dxa"/>
          </w:tcPr>
          <w:p w:rsidR="003603EE" w:rsidRDefault="003603EE" w:rsidP="007A2A55">
            <w:pPr>
              <w:autoSpaceDE w:val="0"/>
              <w:autoSpaceDN w:val="0"/>
              <w:adjustRightInd w:val="0"/>
              <w:rPr>
                <w:rFonts w:cstheme="minorHAnsi"/>
                <w:color w:val="252525"/>
              </w:rPr>
            </w:pPr>
          </w:p>
        </w:tc>
        <w:tc>
          <w:tcPr>
            <w:tcW w:w="3238" w:type="dxa"/>
          </w:tcPr>
          <w:p w:rsidR="003603EE" w:rsidRDefault="003B6C37" w:rsidP="007A2A55">
            <w:pPr>
              <w:autoSpaceDE w:val="0"/>
              <w:autoSpaceDN w:val="0"/>
              <w:adjustRightInd w:val="0"/>
              <w:rPr>
                <w:rFonts w:cstheme="minorHAnsi"/>
                <w:color w:val="252525"/>
              </w:rPr>
            </w:pPr>
            <w:r>
              <w:rPr>
                <w:rFonts w:cstheme="minorHAnsi"/>
                <w:color w:val="252525"/>
              </w:rPr>
              <w:t>0%</w:t>
            </w:r>
          </w:p>
        </w:tc>
      </w:tr>
      <w:tr w:rsidR="003603EE" w:rsidTr="003603EE">
        <w:tc>
          <w:tcPr>
            <w:tcW w:w="3237" w:type="dxa"/>
            <w:tcBorders>
              <w:bottom w:val="single" w:sz="4" w:space="0" w:color="auto"/>
            </w:tcBorders>
          </w:tcPr>
          <w:p w:rsidR="003603EE" w:rsidRPr="003603EE" w:rsidRDefault="003731F4" w:rsidP="003603EE">
            <w:pPr>
              <w:rPr>
                <w:color w:val="4472C4" w:themeColor="accent5"/>
              </w:rPr>
            </w:pPr>
            <w:r>
              <w:rPr>
                <w:color w:val="4472C4" w:themeColor="accent5"/>
              </w:rPr>
              <w:t>1</w:t>
            </w:r>
            <w:r w:rsidR="003603EE" w:rsidRPr="00B70C21">
              <w:rPr>
                <w:color w:val="4472C4" w:themeColor="accent5"/>
              </w:rPr>
              <w:t xml:space="preserve"> other groups’ policy maps</w:t>
            </w:r>
          </w:p>
        </w:tc>
        <w:tc>
          <w:tcPr>
            <w:tcW w:w="3237" w:type="dxa"/>
            <w:tcBorders>
              <w:bottom w:val="single" w:sz="4" w:space="0" w:color="auto"/>
            </w:tcBorders>
          </w:tcPr>
          <w:p w:rsidR="003603EE" w:rsidRPr="00EA7029" w:rsidRDefault="003603EE" w:rsidP="007A2A55">
            <w:pPr>
              <w:autoSpaceDE w:val="0"/>
              <w:autoSpaceDN w:val="0"/>
              <w:adjustRightInd w:val="0"/>
              <w:rPr>
                <w:rFonts w:cstheme="minorHAnsi"/>
                <w:color w:val="252525"/>
                <w:sz w:val="20"/>
                <w:szCs w:val="20"/>
              </w:rPr>
            </w:pPr>
            <w:r w:rsidRPr="00EA7029">
              <w:rPr>
                <w:rFonts w:cstheme="minorHAnsi"/>
                <w:color w:val="252525"/>
                <w:sz w:val="20"/>
                <w:szCs w:val="20"/>
              </w:rPr>
              <w:t xml:space="preserve">You will be randomly assigned one group’s work to comment on. You will find the maps in Canvas and you should complete the assignment </w:t>
            </w:r>
            <w:r w:rsidRPr="00EA7029">
              <w:rPr>
                <w:rFonts w:cstheme="minorHAnsi"/>
                <w:color w:val="252525"/>
                <w:sz w:val="20"/>
                <w:szCs w:val="20"/>
              </w:rPr>
              <w:lastRenderedPageBreak/>
              <w:t>individually. Written feedback is required.</w:t>
            </w:r>
          </w:p>
        </w:tc>
        <w:tc>
          <w:tcPr>
            <w:tcW w:w="3238" w:type="dxa"/>
            <w:tcBorders>
              <w:bottom w:val="single" w:sz="4" w:space="0" w:color="auto"/>
            </w:tcBorders>
          </w:tcPr>
          <w:p w:rsidR="003603EE" w:rsidRDefault="003603EE" w:rsidP="007A2A55">
            <w:pPr>
              <w:autoSpaceDE w:val="0"/>
              <w:autoSpaceDN w:val="0"/>
              <w:adjustRightInd w:val="0"/>
              <w:rPr>
                <w:rFonts w:cstheme="minorHAnsi"/>
                <w:color w:val="252525"/>
              </w:rPr>
            </w:pPr>
          </w:p>
        </w:tc>
        <w:tc>
          <w:tcPr>
            <w:tcW w:w="3238" w:type="dxa"/>
            <w:tcBorders>
              <w:bottom w:val="single" w:sz="4" w:space="0" w:color="auto"/>
            </w:tcBorders>
          </w:tcPr>
          <w:p w:rsidR="003603EE" w:rsidRDefault="003B6C37" w:rsidP="007A2A55">
            <w:pPr>
              <w:autoSpaceDE w:val="0"/>
              <w:autoSpaceDN w:val="0"/>
              <w:adjustRightInd w:val="0"/>
              <w:rPr>
                <w:rFonts w:cstheme="minorHAnsi"/>
                <w:color w:val="252525"/>
              </w:rPr>
            </w:pPr>
            <w:r>
              <w:rPr>
                <w:rFonts w:cstheme="minorHAnsi"/>
                <w:color w:val="252525"/>
              </w:rPr>
              <w:t>0%</w:t>
            </w:r>
          </w:p>
        </w:tc>
      </w:tr>
      <w:tr w:rsidR="003603EE" w:rsidTr="003B6C37">
        <w:tc>
          <w:tcPr>
            <w:tcW w:w="3237" w:type="dxa"/>
            <w:tcBorders>
              <w:right w:val="nil"/>
            </w:tcBorders>
            <w:shd w:val="clear" w:color="auto" w:fill="FFF2CC" w:themeFill="accent4" w:themeFillTint="33"/>
          </w:tcPr>
          <w:p w:rsidR="003603EE" w:rsidRDefault="003603EE" w:rsidP="003603EE">
            <w:r>
              <w:lastRenderedPageBreak/>
              <w:t>Papers</w:t>
            </w:r>
          </w:p>
        </w:tc>
        <w:tc>
          <w:tcPr>
            <w:tcW w:w="3237" w:type="dxa"/>
            <w:tcBorders>
              <w:left w:val="nil"/>
              <w:right w:val="nil"/>
            </w:tcBorders>
            <w:shd w:val="clear" w:color="auto" w:fill="FFF2CC" w:themeFill="accent4" w:themeFillTint="33"/>
          </w:tcPr>
          <w:p w:rsidR="003603EE" w:rsidRPr="00EA7029" w:rsidRDefault="003603EE" w:rsidP="007A2A55">
            <w:pPr>
              <w:autoSpaceDE w:val="0"/>
              <w:autoSpaceDN w:val="0"/>
              <w:adjustRightInd w:val="0"/>
              <w:rPr>
                <w:rFonts w:cstheme="minorHAnsi"/>
                <w:color w:val="252525"/>
                <w:sz w:val="20"/>
                <w:szCs w:val="20"/>
              </w:rPr>
            </w:pPr>
          </w:p>
        </w:tc>
        <w:tc>
          <w:tcPr>
            <w:tcW w:w="3238" w:type="dxa"/>
            <w:tcBorders>
              <w:left w:val="nil"/>
              <w:right w:val="nil"/>
            </w:tcBorders>
            <w:shd w:val="clear" w:color="auto" w:fill="FFF2CC" w:themeFill="accent4" w:themeFillTint="33"/>
          </w:tcPr>
          <w:p w:rsidR="003603EE" w:rsidRDefault="003603EE" w:rsidP="007A2A55">
            <w:pPr>
              <w:autoSpaceDE w:val="0"/>
              <w:autoSpaceDN w:val="0"/>
              <w:adjustRightInd w:val="0"/>
              <w:rPr>
                <w:rFonts w:cstheme="minorHAnsi"/>
                <w:color w:val="252525"/>
              </w:rPr>
            </w:pPr>
          </w:p>
        </w:tc>
        <w:tc>
          <w:tcPr>
            <w:tcW w:w="3238" w:type="dxa"/>
            <w:tcBorders>
              <w:left w:val="nil"/>
            </w:tcBorders>
            <w:shd w:val="clear" w:color="auto" w:fill="FFF2CC" w:themeFill="accent4" w:themeFillTint="33"/>
          </w:tcPr>
          <w:p w:rsidR="003603EE" w:rsidRDefault="003603EE" w:rsidP="007A2A55">
            <w:pPr>
              <w:autoSpaceDE w:val="0"/>
              <w:autoSpaceDN w:val="0"/>
              <w:adjustRightInd w:val="0"/>
              <w:rPr>
                <w:rFonts w:cstheme="minorHAnsi"/>
                <w:color w:val="252525"/>
              </w:rPr>
            </w:pPr>
          </w:p>
        </w:tc>
      </w:tr>
      <w:tr w:rsidR="003603EE" w:rsidTr="00B70C21">
        <w:tc>
          <w:tcPr>
            <w:tcW w:w="3237" w:type="dxa"/>
          </w:tcPr>
          <w:p w:rsidR="003603EE" w:rsidRPr="003603EE" w:rsidRDefault="003603EE" w:rsidP="003603EE">
            <w:pPr>
              <w:rPr>
                <w:color w:val="4472C4" w:themeColor="accent5"/>
              </w:rPr>
            </w:pPr>
            <w:r w:rsidRPr="00B70C21">
              <w:rPr>
                <w:color w:val="4472C4" w:themeColor="accent5"/>
              </w:rPr>
              <w:t>Strengths of Theory</w:t>
            </w:r>
            <w:r>
              <w:rPr>
                <w:color w:val="4472C4" w:themeColor="accent5"/>
              </w:rPr>
              <w:t xml:space="preserve"> paper</w:t>
            </w:r>
          </w:p>
        </w:tc>
        <w:tc>
          <w:tcPr>
            <w:tcW w:w="3237" w:type="dxa"/>
          </w:tcPr>
          <w:p w:rsidR="004C0F16" w:rsidRPr="006B4DC5" w:rsidRDefault="004C0F16" w:rsidP="006B4DC5">
            <w:pPr>
              <w:pStyle w:val="ListParagraph"/>
              <w:numPr>
                <w:ilvl w:val="0"/>
                <w:numId w:val="16"/>
              </w:numPr>
              <w:autoSpaceDE w:val="0"/>
              <w:autoSpaceDN w:val="0"/>
              <w:adjustRightInd w:val="0"/>
              <w:ind w:left="250" w:hanging="270"/>
              <w:rPr>
                <w:rFonts w:cstheme="minorHAnsi"/>
                <w:color w:val="252525"/>
                <w:sz w:val="20"/>
                <w:szCs w:val="20"/>
              </w:rPr>
            </w:pPr>
            <w:r w:rsidRPr="006B4DC5">
              <w:rPr>
                <w:rFonts w:cstheme="minorHAnsi"/>
                <w:color w:val="252525"/>
                <w:sz w:val="20"/>
                <w:szCs w:val="20"/>
              </w:rPr>
              <w:t>If you are an undergraduate student you are asked to compare two theoretical frameworks of the policy process and to evaluate the strengths and weaknesses of each framework.</w:t>
            </w:r>
          </w:p>
          <w:p w:rsidR="003603EE" w:rsidRPr="006B4DC5" w:rsidRDefault="004C0F16" w:rsidP="006B4DC5">
            <w:pPr>
              <w:pStyle w:val="ListParagraph"/>
              <w:numPr>
                <w:ilvl w:val="0"/>
                <w:numId w:val="16"/>
              </w:numPr>
              <w:autoSpaceDE w:val="0"/>
              <w:autoSpaceDN w:val="0"/>
              <w:adjustRightInd w:val="0"/>
              <w:ind w:left="250" w:hanging="270"/>
              <w:rPr>
                <w:rFonts w:cstheme="minorHAnsi"/>
                <w:color w:val="252525"/>
                <w:sz w:val="20"/>
                <w:szCs w:val="20"/>
              </w:rPr>
            </w:pPr>
            <w:r w:rsidRPr="006B4DC5">
              <w:rPr>
                <w:rFonts w:cstheme="minorHAnsi"/>
                <w:color w:val="252525"/>
                <w:sz w:val="20"/>
                <w:szCs w:val="20"/>
              </w:rPr>
              <w:t>If you are a Master student you are asked to compare and contrast three theoretical frameworks or approaches to understanding the policy process and its outcomes and to evaluate the strengths and weaknesses of each framework/approach.</w:t>
            </w:r>
          </w:p>
          <w:p w:rsidR="004C0F16" w:rsidRPr="006B4DC5" w:rsidRDefault="004C0F16" w:rsidP="006B4DC5">
            <w:pPr>
              <w:pStyle w:val="ListParagraph"/>
              <w:numPr>
                <w:ilvl w:val="0"/>
                <w:numId w:val="16"/>
              </w:numPr>
              <w:autoSpaceDE w:val="0"/>
              <w:autoSpaceDN w:val="0"/>
              <w:adjustRightInd w:val="0"/>
              <w:ind w:left="250" w:hanging="270"/>
              <w:rPr>
                <w:rFonts w:cstheme="minorHAnsi"/>
                <w:color w:val="252525"/>
                <w:sz w:val="20"/>
                <w:szCs w:val="20"/>
              </w:rPr>
            </w:pPr>
            <w:r w:rsidRPr="006B4DC5">
              <w:rPr>
                <w:rFonts w:cstheme="minorHAnsi"/>
                <w:color w:val="252525"/>
                <w:sz w:val="20"/>
                <w:szCs w:val="20"/>
              </w:rPr>
              <w:t>If you are a PhD student you are asked to compare and contrast five approaches to understanding the policy process and its outcomes. You are encouraged to draw on as many readings (incl. recommended readings) as you can (without the paper becoming a buckshot) to illustrate your points and your assessment of the strengths and weaknesses of the different approaches.</w:t>
            </w:r>
          </w:p>
        </w:tc>
        <w:tc>
          <w:tcPr>
            <w:tcW w:w="3238" w:type="dxa"/>
          </w:tcPr>
          <w:p w:rsidR="003603EE" w:rsidRDefault="003603EE" w:rsidP="007A2A55">
            <w:pPr>
              <w:autoSpaceDE w:val="0"/>
              <w:autoSpaceDN w:val="0"/>
              <w:adjustRightInd w:val="0"/>
              <w:rPr>
                <w:rFonts w:cstheme="minorHAnsi"/>
                <w:color w:val="252525"/>
              </w:rPr>
            </w:pPr>
          </w:p>
        </w:tc>
        <w:tc>
          <w:tcPr>
            <w:tcW w:w="3238" w:type="dxa"/>
          </w:tcPr>
          <w:p w:rsidR="003603EE" w:rsidRDefault="003B6C37" w:rsidP="007A2A55">
            <w:pPr>
              <w:autoSpaceDE w:val="0"/>
              <w:autoSpaceDN w:val="0"/>
              <w:adjustRightInd w:val="0"/>
              <w:rPr>
                <w:rFonts w:cstheme="minorHAnsi"/>
                <w:color w:val="252525"/>
              </w:rPr>
            </w:pPr>
            <w:r>
              <w:rPr>
                <w:rFonts w:cstheme="minorHAnsi"/>
                <w:color w:val="252525"/>
              </w:rPr>
              <w:t>25%</w:t>
            </w:r>
          </w:p>
        </w:tc>
      </w:tr>
      <w:tr w:rsidR="003603EE" w:rsidTr="003603EE">
        <w:tc>
          <w:tcPr>
            <w:tcW w:w="3237" w:type="dxa"/>
            <w:tcBorders>
              <w:bottom w:val="single" w:sz="4" w:space="0" w:color="auto"/>
            </w:tcBorders>
          </w:tcPr>
          <w:p w:rsidR="003603EE" w:rsidRPr="003603EE" w:rsidRDefault="003603EE" w:rsidP="003603EE">
            <w:pPr>
              <w:rPr>
                <w:color w:val="4472C4" w:themeColor="accent5"/>
              </w:rPr>
            </w:pPr>
            <w:r w:rsidRPr="00B70C21">
              <w:rPr>
                <w:color w:val="4472C4" w:themeColor="accent5"/>
              </w:rPr>
              <w:t>Policy Area Analysis</w:t>
            </w:r>
            <w:r>
              <w:rPr>
                <w:color w:val="4472C4" w:themeColor="accent5"/>
              </w:rPr>
              <w:t xml:space="preserve"> paper</w:t>
            </w:r>
          </w:p>
        </w:tc>
        <w:tc>
          <w:tcPr>
            <w:tcW w:w="3237" w:type="dxa"/>
            <w:tcBorders>
              <w:bottom w:val="single" w:sz="4" w:space="0" w:color="auto"/>
            </w:tcBorders>
          </w:tcPr>
          <w:p w:rsidR="003603EE" w:rsidRDefault="008B298D" w:rsidP="007A2A55">
            <w:pPr>
              <w:autoSpaceDE w:val="0"/>
              <w:autoSpaceDN w:val="0"/>
              <w:adjustRightInd w:val="0"/>
              <w:rPr>
                <w:rFonts w:cstheme="minorHAnsi"/>
                <w:color w:val="252525"/>
                <w:sz w:val="20"/>
                <w:szCs w:val="20"/>
              </w:rPr>
            </w:pPr>
            <w:r>
              <w:rPr>
                <w:rFonts w:cstheme="minorHAnsi"/>
                <w:color w:val="252525"/>
                <w:sz w:val="20"/>
                <w:szCs w:val="20"/>
              </w:rPr>
              <w:t>You are going to be asked to research and present a policy area of your choice in this research and analysis paper.</w:t>
            </w:r>
          </w:p>
          <w:p w:rsidR="008B298D" w:rsidRDefault="008B298D" w:rsidP="007A2A55">
            <w:pPr>
              <w:autoSpaceDE w:val="0"/>
              <w:autoSpaceDN w:val="0"/>
              <w:adjustRightInd w:val="0"/>
              <w:rPr>
                <w:rFonts w:cstheme="minorHAnsi"/>
                <w:color w:val="252525"/>
                <w:sz w:val="20"/>
                <w:szCs w:val="20"/>
              </w:rPr>
            </w:pPr>
            <w:r>
              <w:rPr>
                <w:rFonts w:cstheme="minorHAnsi"/>
                <w:color w:val="252525"/>
                <w:sz w:val="20"/>
                <w:szCs w:val="20"/>
              </w:rPr>
              <w:t>You pick your policy area of choice by Sept. 26.</w:t>
            </w:r>
          </w:p>
          <w:p w:rsidR="008B298D" w:rsidRDefault="008B298D" w:rsidP="007A2A55">
            <w:pPr>
              <w:autoSpaceDE w:val="0"/>
              <w:autoSpaceDN w:val="0"/>
              <w:adjustRightInd w:val="0"/>
              <w:rPr>
                <w:rFonts w:cstheme="minorHAnsi"/>
                <w:color w:val="252525"/>
                <w:sz w:val="20"/>
                <w:szCs w:val="20"/>
              </w:rPr>
            </w:pPr>
            <w:r>
              <w:rPr>
                <w:rFonts w:cstheme="minorHAnsi"/>
                <w:color w:val="252525"/>
                <w:sz w:val="20"/>
                <w:szCs w:val="20"/>
              </w:rPr>
              <w:t>The</w:t>
            </w:r>
            <w:r w:rsidR="00490833">
              <w:rPr>
                <w:rFonts w:cstheme="minorHAnsi"/>
                <w:color w:val="252525"/>
                <w:sz w:val="20"/>
                <w:szCs w:val="20"/>
              </w:rPr>
              <w:t xml:space="preserve"> beginning of this</w:t>
            </w:r>
            <w:r>
              <w:rPr>
                <w:rFonts w:cstheme="minorHAnsi"/>
                <w:color w:val="252525"/>
                <w:sz w:val="20"/>
                <w:szCs w:val="20"/>
              </w:rPr>
              <w:t xml:space="preserve"> paper will be structured according to the stakeholder mapping, the regulatory </w:t>
            </w:r>
            <w:r>
              <w:rPr>
                <w:rFonts w:cstheme="minorHAnsi"/>
                <w:color w:val="252525"/>
                <w:sz w:val="20"/>
                <w:szCs w:val="20"/>
              </w:rPr>
              <w:lastRenderedPageBreak/>
              <w:t>mapping and policy mapping we did earlier in the semester. This will help you organize your research process and have a rudimentary structure to presenting what can sometimes be very vast policy area.</w:t>
            </w:r>
          </w:p>
          <w:p w:rsidR="008B298D" w:rsidRDefault="008B298D" w:rsidP="007A2A55">
            <w:pPr>
              <w:autoSpaceDE w:val="0"/>
              <w:autoSpaceDN w:val="0"/>
              <w:adjustRightInd w:val="0"/>
              <w:rPr>
                <w:rFonts w:cstheme="minorHAnsi"/>
                <w:color w:val="252525"/>
                <w:sz w:val="20"/>
                <w:szCs w:val="20"/>
              </w:rPr>
            </w:pPr>
            <w:r>
              <w:rPr>
                <w:rFonts w:cstheme="minorHAnsi"/>
                <w:color w:val="252525"/>
                <w:sz w:val="20"/>
                <w:szCs w:val="20"/>
              </w:rPr>
              <w:t>You are then also asked to apply, on your own</w:t>
            </w:r>
            <w:r w:rsidR="00490833">
              <w:rPr>
                <w:rFonts w:cstheme="minorHAnsi"/>
                <w:color w:val="252525"/>
                <w:sz w:val="20"/>
                <w:szCs w:val="20"/>
              </w:rPr>
              <w:t>,</w:t>
            </w:r>
            <w:r>
              <w:rPr>
                <w:rFonts w:cstheme="minorHAnsi"/>
                <w:color w:val="252525"/>
                <w:sz w:val="20"/>
                <w:szCs w:val="20"/>
              </w:rPr>
              <w:t xml:space="preserve"> theoretical lenses and frameworks in an effort to identify the one that best explains or sheds light on what is going on in the policy area you have chosen. </w:t>
            </w:r>
          </w:p>
          <w:p w:rsidR="008B298D" w:rsidRDefault="008B298D" w:rsidP="007A2A55">
            <w:pPr>
              <w:autoSpaceDE w:val="0"/>
              <w:autoSpaceDN w:val="0"/>
              <w:adjustRightInd w:val="0"/>
              <w:rPr>
                <w:rFonts w:cstheme="minorHAnsi"/>
                <w:color w:val="252525"/>
                <w:sz w:val="20"/>
                <w:szCs w:val="20"/>
              </w:rPr>
            </w:pPr>
            <w:r>
              <w:rPr>
                <w:rFonts w:cstheme="minorHAnsi"/>
                <w:color w:val="252525"/>
                <w:sz w:val="20"/>
                <w:szCs w:val="20"/>
              </w:rPr>
              <w:t xml:space="preserve">In the paper you are asked to analyze the policy area using one or several lenses depending on what level of student you are. </w:t>
            </w:r>
          </w:p>
          <w:p w:rsidR="008B298D" w:rsidRPr="00EA7029" w:rsidRDefault="008B298D" w:rsidP="008B298D">
            <w:pPr>
              <w:autoSpaceDE w:val="0"/>
              <w:autoSpaceDN w:val="0"/>
              <w:adjustRightInd w:val="0"/>
              <w:rPr>
                <w:rFonts w:cstheme="minorHAnsi"/>
                <w:color w:val="252525"/>
                <w:sz w:val="20"/>
                <w:szCs w:val="20"/>
              </w:rPr>
            </w:pPr>
            <w:r>
              <w:rPr>
                <w:rFonts w:cstheme="minorHAnsi"/>
                <w:color w:val="252525"/>
                <w:sz w:val="20"/>
                <w:szCs w:val="20"/>
              </w:rPr>
              <w:t xml:space="preserve">In the oral presentations </w:t>
            </w:r>
            <w:r w:rsidR="00642C3D">
              <w:rPr>
                <w:rFonts w:cstheme="minorHAnsi"/>
                <w:color w:val="252525"/>
                <w:sz w:val="20"/>
                <w:szCs w:val="20"/>
              </w:rPr>
              <w:t xml:space="preserve">(see below) </w:t>
            </w:r>
            <w:r>
              <w:rPr>
                <w:rFonts w:cstheme="minorHAnsi"/>
                <w:color w:val="252525"/>
                <w:sz w:val="20"/>
                <w:szCs w:val="20"/>
              </w:rPr>
              <w:t>of your policy area analysis (this paper) you will be asked to present the area and the one framework you think best explains what is going on in the policy area and what that framework allows us to see/note in the policy area.</w:t>
            </w:r>
          </w:p>
        </w:tc>
        <w:tc>
          <w:tcPr>
            <w:tcW w:w="3238" w:type="dxa"/>
            <w:tcBorders>
              <w:bottom w:val="single" w:sz="4" w:space="0" w:color="auto"/>
            </w:tcBorders>
          </w:tcPr>
          <w:p w:rsidR="003603EE" w:rsidRDefault="003603EE" w:rsidP="007A2A55">
            <w:pPr>
              <w:autoSpaceDE w:val="0"/>
              <w:autoSpaceDN w:val="0"/>
              <w:adjustRightInd w:val="0"/>
              <w:rPr>
                <w:rFonts w:cstheme="minorHAnsi"/>
                <w:color w:val="252525"/>
              </w:rPr>
            </w:pPr>
          </w:p>
        </w:tc>
        <w:tc>
          <w:tcPr>
            <w:tcW w:w="3238" w:type="dxa"/>
            <w:tcBorders>
              <w:bottom w:val="single" w:sz="4" w:space="0" w:color="auto"/>
            </w:tcBorders>
          </w:tcPr>
          <w:p w:rsidR="003603EE" w:rsidRDefault="003B6C37" w:rsidP="007A2A55">
            <w:pPr>
              <w:autoSpaceDE w:val="0"/>
              <w:autoSpaceDN w:val="0"/>
              <w:adjustRightInd w:val="0"/>
              <w:rPr>
                <w:rFonts w:cstheme="minorHAnsi"/>
                <w:color w:val="252525"/>
              </w:rPr>
            </w:pPr>
            <w:r>
              <w:rPr>
                <w:rFonts w:cstheme="minorHAnsi"/>
                <w:color w:val="252525"/>
              </w:rPr>
              <w:t>25%</w:t>
            </w:r>
          </w:p>
        </w:tc>
      </w:tr>
      <w:tr w:rsidR="003603EE" w:rsidTr="003B6C37">
        <w:tc>
          <w:tcPr>
            <w:tcW w:w="3237" w:type="dxa"/>
            <w:tcBorders>
              <w:right w:val="nil"/>
            </w:tcBorders>
            <w:shd w:val="clear" w:color="auto" w:fill="FFF2CC" w:themeFill="accent4" w:themeFillTint="33"/>
          </w:tcPr>
          <w:p w:rsidR="003603EE" w:rsidRPr="00B70C21" w:rsidRDefault="003603EE" w:rsidP="003603EE">
            <w:pPr>
              <w:rPr>
                <w:color w:val="4472C4" w:themeColor="accent5"/>
              </w:rPr>
            </w:pPr>
            <w:r>
              <w:lastRenderedPageBreak/>
              <w:t>Presentation</w:t>
            </w:r>
          </w:p>
        </w:tc>
        <w:tc>
          <w:tcPr>
            <w:tcW w:w="3237" w:type="dxa"/>
            <w:tcBorders>
              <w:left w:val="nil"/>
              <w:right w:val="nil"/>
            </w:tcBorders>
            <w:shd w:val="clear" w:color="auto" w:fill="FFF2CC" w:themeFill="accent4" w:themeFillTint="33"/>
          </w:tcPr>
          <w:p w:rsidR="003603EE" w:rsidRPr="00EA7029" w:rsidRDefault="003603EE" w:rsidP="007A2A55">
            <w:pPr>
              <w:autoSpaceDE w:val="0"/>
              <w:autoSpaceDN w:val="0"/>
              <w:adjustRightInd w:val="0"/>
              <w:rPr>
                <w:rFonts w:cstheme="minorHAnsi"/>
                <w:color w:val="252525"/>
                <w:sz w:val="20"/>
                <w:szCs w:val="20"/>
              </w:rPr>
            </w:pPr>
          </w:p>
        </w:tc>
        <w:tc>
          <w:tcPr>
            <w:tcW w:w="3238" w:type="dxa"/>
            <w:tcBorders>
              <w:left w:val="nil"/>
              <w:right w:val="nil"/>
            </w:tcBorders>
            <w:shd w:val="clear" w:color="auto" w:fill="FFF2CC" w:themeFill="accent4" w:themeFillTint="33"/>
          </w:tcPr>
          <w:p w:rsidR="003603EE" w:rsidRDefault="003603EE" w:rsidP="007A2A55">
            <w:pPr>
              <w:autoSpaceDE w:val="0"/>
              <w:autoSpaceDN w:val="0"/>
              <w:adjustRightInd w:val="0"/>
              <w:rPr>
                <w:rFonts w:cstheme="minorHAnsi"/>
                <w:color w:val="252525"/>
              </w:rPr>
            </w:pPr>
          </w:p>
        </w:tc>
        <w:tc>
          <w:tcPr>
            <w:tcW w:w="3238" w:type="dxa"/>
            <w:tcBorders>
              <w:left w:val="nil"/>
            </w:tcBorders>
            <w:shd w:val="clear" w:color="auto" w:fill="FFF2CC" w:themeFill="accent4" w:themeFillTint="33"/>
          </w:tcPr>
          <w:p w:rsidR="003603EE" w:rsidRDefault="003603EE" w:rsidP="007A2A55">
            <w:pPr>
              <w:autoSpaceDE w:val="0"/>
              <w:autoSpaceDN w:val="0"/>
              <w:adjustRightInd w:val="0"/>
              <w:rPr>
                <w:rFonts w:cstheme="minorHAnsi"/>
                <w:color w:val="252525"/>
              </w:rPr>
            </w:pPr>
          </w:p>
        </w:tc>
      </w:tr>
      <w:tr w:rsidR="003603EE" w:rsidTr="00B70C21">
        <w:tc>
          <w:tcPr>
            <w:tcW w:w="3237" w:type="dxa"/>
          </w:tcPr>
          <w:p w:rsidR="003603EE" w:rsidRPr="00B70C21" w:rsidRDefault="003603EE" w:rsidP="003603EE">
            <w:pPr>
              <w:rPr>
                <w:color w:val="4472C4" w:themeColor="accent5"/>
              </w:rPr>
            </w:pPr>
            <w:r w:rsidRPr="00B70C21">
              <w:rPr>
                <w:color w:val="4472C4" w:themeColor="accent5"/>
              </w:rPr>
              <w:t xml:space="preserve">Oral presentation </w:t>
            </w:r>
            <w:r>
              <w:rPr>
                <w:color w:val="4472C4" w:themeColor="accent5"/>
              </w:rPr>
              <w:t xml:space="preserve">of Policy Area Analysis </w:t>
            </w:r>
          </w:p>
        </w:tc>
        <w:tc>
          <w:tcPr>
            <w:tcW w:w="3237" w:type="dxa"/>
          </w:tcPr>
          <w:p w:rsidR="003603EE" w:rsidRPr="00EA7029" w:rsidRDefault="003603EE" w:rsidP="007A2A55">
            <w:pPr>
              <w:autoSpaceDE w:val="0"/>
              <w:autoSpaceDN w:val="0"/>
              <w:adjustRightInd w:val="0"/>
              <w:rPr>
                <w:rFonts w:cstheme="minorHAnsi"/>
                <w:color w:val="252525"/>
                <w:sz w:val="20"/>
                <w:szCs w:val="20"/>
              </w:rPr>
            </w:pPr>
            <w:r w:rsidRPr="00EA7029">
              <w:rPr>
                <w:color w:val="4472C4" w:themeColor="accent5"/>
                <w:sz w:val="20"/>
                <w:szCs w:val="20"/>
              </w:rPr>
              <w:t>Present in class using PowerPoint</w:t>
            </w:r>
          </w:p>
        </w:tc>
        <w:tc>
          <w:tcPr>
            <w:tcW w:w="3238" w:type="dxa"/>
          </w:tcPr>
          <w:p w:rsidR="003603EE" w:rsidRDefault="003603EE" w:rsidP="007A2A55">
            <w:pPr>
              <w:autoSpaceDE w:val="0"/>
              <w:autoSpaceDN w:val="0"/>
              <w:adjustRightInd w:val="0"/>
              <w:rPr>
                <w:rFonts w:cstheme="minorHAnsi"/>
                <w:color w:val="252525"/>
              </w:rPr>
            </w:pPr>
          </w:p>
        </w:tc>
        <w:tc>
          <w:tcPr>
            <w:tcW w:w="3238" w:type="dxa"/>
          </w:tcPr>
          <w:p w:rsidR="003603EE" w:rsidRDefault="003B6C37" w:rsidP="007A2A55">
            <w:pPr>
              <w:autoSpaceDE w:val="0"/>
              <w:autoSpaceDN w:val="0"/>
              <w:adjustRightInd w:val="0"/>
              <w:rPr>
                <w:rFonts w:cstheme="minorHAnsi"/>
                <w:color w:val="252525"/>
              </w:rPr>
            </w:pPr>
            <w:r>
              <w:rPr>
                <w:rFonts w:cstheme="minorHAnsi"/>
                <w:color w:val="252525"/>
              </w:rPr>
              <w:t>10%</w:t>
            </w:r>
          </w:p>
        </w:tc>
      </w:tr>
      <w:tr w:rsidR="003603EE" w:rsidTr="00B70C21">
        <w:tc>
          <w:tcPr>
            <w:tcW w:w="3237" w:type="dxa"/>
          </w:tcPr>
          <w:p w:rsidR="003603EE" w:rsidRPr="00B70C21" w:rsidRDefault="003603EE" w:rsidP="003603EE">
            <w:pPr>
              <w:rPr>
                <w:color w:val="4472C4" w:themeColor="accent5"/>
              </w:rPr>
            </w:pPr>
            <w:r>
              <w:rPr>
                <w:color w:val="4472C4" w:themeColor="accent5"/>
              </w:rPr>
              <w:t>Actual PowerPoint</w:t>
            </w:r>
          </w:p>
        </w:tc>
        <w:tc>
          <w:tcPr>
            <w:tcW w:w="3237" w:type="dxa"/>
          </w:tcPr>
          <w:p w:rsidR="003603EE" w:rsidRPr="00EA7029" w:rsidRDefault="003603EE" w:rsidP="007A2A55">
            <w:pPr>
              <w:autoSpaceDE w:val="0"/>
              <w:autoSpaceDN w:val="0"/>
              <w:adjustRightInd w:val="0"/>
              <w:rPr>
                <w:rFonts w:cstheme="minorHAnsi"/>
                <w:color w:val="252525"/>
                <w:sz w:val="20"/>
                <w:szCs w:val="20"/>
              </w:rPr>
            </w:pPr>
            <w:r w:rsidRPr="00EA7029">
              <w:rPr>
                <w:color w:val="4472C4" w:themeColor="accent5"/>
                <w:sz w:val="20"/>
                <w:szCs w:val="20"/>
              </w:rPr>
              <w:t>submit on Canvas for grading</w:t>
            </w:r>
          </w:p>
        </w:tc>
        <w:tc>
          <w:tcPr>
            <w:tcW w:w="3238" w:type="dxa"/>
          </w:tcPr>
          <w:p w:rsidR="003603EE" w:rsidRDefault="003603EE" w:rsidP="007A2A55">
            <w:pPr>
              <w:autoSpaceDE w:val="0"/>
              <w:autoSpaceDN w:val="0"/>
              <w:adjustRightInd w:val="0"/>
              <w:rPr>
                <w:rFonts w:cstheme="minorHAnsi"/>
                <w:color w:val="252525"/>
              </w:rPr>
            </w:pPr>
          </w:p>
        </w:tc>
        <w:tc>
          <w:tcPr>
            <w:tcW w:w="3238" w:type="dxa"/>
          </w:tcPr>
          <w:p w:rsidR="003603EE" w:rsidRDefault="003B6C37" w:rsidP="007A2A55">
            <w:pPr>
              <w:autoSpaceDE w:val="0"/>
              <w:autoSpaceDN w:val="0"/>
              <w:adjustRightInd w:val="0"/>
              <w:rPr>
                <w:rFonts w:cstheme="minorHAnsi"/>
                <w:color w:val="252525"/>
              </w:rPr>
            </w:pPr>
            <w:r>
              <w:rPr>
                <w:rFonts w:cstheme="minorHAnsi"/>
                <w:color w:val="252525"/>
              </w:rPr>
              <w:t>10%</w:t>
            </w:r>
          </w:p>
        </w:tc>
      </w:tr>
      <w:tr w:rsidR="003B6C37" w:rsidTr="003B6C37">
        <w:tc>
          <w:tcPr>
            <w:tcW w:w="3237" w:type="dxa"/>
            <w:shd w:val="clear" w:color="auto" w:fill="FFF2CC" w:themeFill="accent4" w:themeFillTint="33"/>
          </w:tcPr>
          <w:p w:rsidR="003B6C37" w:rsidRPr="006F5A37" w:rsidRDefault="003B6C37" w:rsidP="003603EE">
            <w:r w:rsidRPr="006F5A37">
              <w:t>Class participation</w:t>
            </w:r>
          </w:p>
        </w:tc>
        <w:tc>
          <w:tcPr>
            <w:tcW w:w="3237" w:type="dxa"/>
            <w:shd w:val="clear" w:color="auto" w:fill="FFF2CC" w:themeFill="accent4" w:themeFillTint="33"/>
          </w:tcPr>
          <w:p w:rsidR="008B3175" w:rsidRPr="00EA7029" w:rsidRDefault="008B3175" w:rsidP="008B3175">
            <w:pPr>
              <w:autoSpaceDE w:val="0"/>
              <w:autoSpaceDN w:val="0"/>
              <w:adjustRightInd w:val="0"/>
              <w:rPr>
                <w:rFonts w:cstheme="minorHAnsi"/>
                <w:sz w:val="20"/>
                <w:szCs w:val="20"/>
              </w:rPr>
            </w:pPr>
            <w:r w:rsidRPr="00EA7029">
              <w:rPr>
                <w:rFonts w:cstheme="minorHAnsi"/>
                <w:sz w:val="20"/>
                <w:szCs w:val="20"/>
              </w:rPr>
              <w:t xml:space="preserve">You can miss one seminar week (for whatever reason) while receiving full credit for participation. For all other weeks, seminar </w:t>
            </w:r>
            <w:r w:rsidR="00495253">
              <w:rPr>
                <w:rFonts w:cstheme="minorHAnsi"/>
                <w:sz w:val="20"/>
                <w:szCs w:val="20"/>
              </w:rPr>
              <w:t>point</w:t>
            </w:r>
            <w:r w:rsidRPr="00EA7029">
              <w:rPr>
                <w:rFonts w:cstheme="minorHAnsi"/>
                <w:sz w:val="20"/>
                <w:szCs w:val="20"/>
              </w:rPr>
              <w:t xml:space="preserve">s </w:t>
            </w:r>
            <w:r w:rsidR="00495253">
              <w:rPr>
                <w:rFonts w:cstheme="minorHAnsi"/>
                <w:sz w:val="20"/>
                <w:szCs w:val="20"/>
              </w:rPr>
              <w:t xml:space="preserve">(9 per class is max) </w:t>
            </w:r>
            <w:r w:rsidRPr="00EA7029">
              <w:rPr>
                <w:rFonts w:cstheme="minorHAnsi"/>
                <w:sz w:val="20"/>
                <w:szCs w:val="20"/>
              </w:rPr>
              <w:t xml:space="preserve">will be assigned on a weekly basis, and will reflect: </w:t>
            </w:r>
          </w:p>
          <w:p w:rsidR="008B3175" w:rsidRPr="00EA7029" w:rsidRDefault="008B3175" w:rsidP="006F5A37">
            <w:pPr>
              <w:pStyle w:val="ListParagraph"/>
              <w:numPr>
                <w:ilvl w:val="0"/>
                <w:numId w:val="13"/>
              </w:numPr>
              <w:autoSpaceDE w:val="0"/>
              <w:autoSpaceDN w:val="0"/>
              <w:adjustRightInd w:val="0"/>
              <w:spacing w:after="163"/>
              <w:ind w:left="-20" w:firstLine="20"/>
              <w:rPr>
                <w:rFonts w:cstheme="minorHAnsi"/>
                <w:sz w:val="20"/>
                <w:szCs w:val="20"/>
              </w:rPr>
            </w:pPr>
            <w:r w:rsidRPr="00EA7029">
              <w:rPr>
                <w:rFonts w:cstheme="minorHAnsi"/>
                <w:sz w:val="20"/>
                <w:szCs w:val="20"/>
              </w:rPr>
              <w:t xml:space="preserve">Extent of engagement (Does someone </w:t>
            </w:r>
            <w:r w:rsidR="001D756E" w:rsidRPr="00EA7029">
              <w:rPr>
                <w:rFonts w:cstheme="minorHAnsi"/>
                <w:sz w:val="20"/>
                <w:szCs w:val="20"/>
              </w:rPr>
              <w:t>ask</w:t>
            </w:r>
            <w:r w:rsidRPr="00EA7029">
              <w:rPr>
                <w:rFonts w:cstheme="minorHAnsi"/>
                <w:sz w:val="20"/>
                <w:szCs w:val="20"/>
              </w:rPr>
              <w:t xml:space="preserve"> a single </w:t>
            </w:r>
            <w:r w:rsidR="001D756E" w:rsidRPr="00EA7029">
              <w:rPr>
                <w:rFonts w:cstheme="minorHAnsi"/>
                <w:sz w:val="20"/>
                <w:szCs w:val="20"/>
              </w:rPr>
              <w:t xml:space="preserve">question or </w:t>
            </w:r>
            <w:r w:rsidRPr="00EA7029">
              <w:rPr>
                <w:rFonts w:cstheme="minorHAnsi"/>
                <w:sz w:val="20"/>
                <w:szCs w:val="20"/>
              </w:rPr>
              <w:t xml:space="preserve">comment, or multiple comments </w:t>
            </w:r>
            <w:r w:rsidRPr="00EA7029">
              <w:rPr>
                <w:rFonts w:cstheme="minorHAnsi"/>
                <w:sz w:val="20"/>
                <w:szCs w:val="20"/>
              </w:rPr>
              <w:lastRenderedPageBreak/>
              <w:t xml:space="preserve">that engage with, critique, or contribute to colleagues’ </w:t>
            </w:r>
            <w:r w:rsidR="001D756E" w:rsidRPr="00EA7029">
              <w:rPr>
                <w:rFonts w:cstheme="minorHAnsi"/>
                <w:sz w:val="20"/>
                <w:szCs w:val="20"/>
              </w:rPr>
              <w:t>discussions</w:t>
            </w:r>
            <w:r w:rsidRPr="00EA7029">
              <w:rPr>
                <w:rFonts w:cstheme="minorHAnsi"/>
                <w:sz w:val="20"/>
                <w:szCs w:val="20"/>
              </w:rPr>
              <w:t xml:space="preserve">) </w:t>
            </w:r>
          </w:p>
          <w:p w:rsidR="00495253" w:rsidRPr="00495253" w:rsidRDefault="008B3175" w:rsidP="006F5A37">
            <w:pPr>
              <w:pStyle w:val="ListParagraph"/>
              <w:numPr>
                <w:ilvl w:val="0"/>
                <w:numId w:val="13"/>
              </w:numPr>
              <w:autoSpaceDE w:val="0"/>
              <w:autoSpaceDN w:val="0"/>
              <w:adjustRightInd w:val="0"/>
              <w:spacing w:after="163"/>
              <w:ind w:left="0" w:firstLine="0"/>
              <w:rPr>
                <w:rFonts w:ascii="Open Sans" w:hAnsi="Open Sans" w:cs="Open Sans"/>
              </w:rPr>
            </w:pPr>
            <w:r w:rsidRPr="00EA7029">
              <w:rPr>
                <w:rFonts w:cstheme="minorHAnsi"/>
                <w:sz w:val="20"/>
                <w:szCs w:val="20"/>
              </w:rPr>
              <w:t xml:space="preserve">Frequency of engagement (i.e.: Does someone participate once or a few times during the week?) </w:t>
            </w:r>
          </w:p>
          <w:p w:rsidR="003B6C37" w:rsidRPr="006F5A37" w:rsidRDefault="001D756E" w:rsidP="006F5A37">
            <w:pPr>
              <w:pStyle w:val="ListParagraph"/>
              <w:numPr>
                <w:ilvl w:val="0"/>
                <w:numId w:val="13"/>
              </w:numPr>
              <w:autoSpaceDE w:val="0"/>
              <w:autoSpaceDN w:val="0"/>
              <w:adjustRightInd w:val="0"/>
              <w:spacing w:after="163"/>
              <w:ind w:left="0" w:firstLine="0"/>
              <w:rPr>
                <w:rFonts w:ascii="Open Sans" w:hAnsi="Open Sans" w:cs="Open Sans"/>
              </w:rPr>
            </w:pPr>
            <w:r w:rsidRPr="00EA7029">
              <w:rPr>
                <w:rFonts w:cstheme="minorHAnsi"/>
                <w:sz w:val="20"/>
                <w:szCs w:val="20"/>
              </w:rPr>
              <w:t>Depth of engagement and p</w:t>
            </w:r>
            <w:r w:rsidR="008B3175" w:rsidRPr="00EA7029">
              <w:rPr>
                <w:rFonts w:cstheme="minorHAnsi"/>
                <w:sz w:val="20"/>
                <w:szCs w:val="20"/>
              </w:rPr>
              <w:t xml:space="preserve">articipation reflects quality dialogue/exchange with group members (i.e.: Does someone just </w:t>
            </w:r>
            <w:r w:rsidRPr="00EA7029">
              <w:rPr>
                <w:rFonts w:cstheme="minorHAnsi"/>
                <w:sz w:val="20"/>
                <w:szCs w:val="20"/>
              </w:rPr>
              <w:t xml:space="preserve">make </w:t>
            </w:r>
            <w:r w:rsidR="008B3175" w:rsidRPr="00EA7029">
              <w:rPr>
                <w:rFonts w:cstheme="minorHAnsi"/>
                <w:sz w:val="20"/>
                <w:szCs w:val="20"/>
              </w:rPr>
              <w:t>a stand-alone comment or do they engage something that was previously stated and offer questions/c</w:t>
            </w:r>
            <w:r w:rsidRPr="00EA7029">
              <w:rPr>
                <w:rFonts w:cstheme="minorHAnsi"/>
                <w:sz w:val="20"/>
                <w:szCs w:val="20"/>
              </w:rPr>
              <w:t>omments for future discussion?)</w:t>
            </w:r>
          </w:p>
        </w:tc>
        <w:tc>
          <w:tcPr>
            <w:tcW w:w="3238" w:type="dxa"/>
            <w:shd w:val="clear" w:color="auto" w:fill="FFF2CC" w:themeFill="accent4" w:themeFillTint="33"/>
          </w:tcPr>
          <w:p w:rsidR="003B6C37" w:rsidRDefault="003B6C37" w:rsidP="007A2A55">
            <w:pPr>
              <w:autoSpaceDE w:val="0"/>
              <w:autoSpaceDN w:val="0"/>
              <w:adjustRightInd w:val="0"/>
              <w:rPr>
                <w:rFonts w:cstheme="minorHAnsi"/>
                <w:color w:val="252525"/>
              </w:rPr>
            </w:pPr>
          </w:p>
        </w:tc>
        <w:tc>
          <w:tcPr>
            <w:tcW w:w="3238" w:type="dxa"/>
            <w:shd w:val="clear" w:color="auto" w:fill="FFF2CC" w:themeFill="accent4" w:themeFillTint="33"/>
          </w:tcPr>
          <w:p w:rsidR="003B6C37" w:rsidRDefault="003B6C37" w:rsidP="007A2A55">
            <w:pPr>
              <w:autoSpaceDE w:val="0"/>
              <w:autoSpaceDN w:val="0"/>
              <w:adjustRightInd w:val="0"/>
              <w:rPr>
                <w:rFonts w:cstheme="minorHAnsi"/>
                <w:color w:val="252525"/>
              </w:rPr>
            </w:pPr>
            <w:r>
              <w:rPr>
                <w:rFonts w:cstheme="minorHAnsi"/>
                <w:color w:val="252525"/>
              </w:rPr>
              <w:t>25%</w:t>
            </w:r>
          </w:p>
        </w:tc>
      </w:tr>
    </w:tbl>
    <w:p w:rsidR="00B70C21" w:rsidRDefault="00B70C21" w:rsidP="007A2A55">
      <w:pPr>
        <w:autoSpaceDE w:val="0"/>
        <w:autoSpaceDN w:val="0"/>
        <w:adjustRightInd w:val="0"/>
        <w:spacing w:after="0" w:line="240" w:lineRule="auto"/>
        <w:rPr>
          <w:rFonts w:cstheme="minorHAnsi"/>
          <w:color w:val="252525"/>
        </w:rPr>
      </w:pPr>
    </w:p>
    <w:p w:rsidR="00B70C21" w:rsidRPr="007A2A55" w:rsidRDefault="00B70C21" w:rsidP="007A2A55">
      <w:pPr>
        <w:autoSpaceDE w:val="0"/>
        <w:autoSpaceDN w:val="0"/>
        <w:adjustRightInd w:val="0"/>
        <w:spacing w:after="0" w:line="240" w:lineRule="auto"/>
        <w:rPr>
          <w:rFonts w:cstheme="minorHAnsi"/>
          <w:color w:val="252525"/>
        </w:rPr>
      </w:pPr>
    </w:p>
    <w:p w:rsidR="007A2A55" w:rsidRPr="00773495" w:rsidRDefault="00B70C21" w:rsidP="007A2A55">
      <w:pPr>
        <w:autoSpaceDE w:val="0"/>
        <w:autoSpaceDN w:val="0"/>
        <w:adjustRightInd w:val="0"/>
        <w:spacing w:after="0" w:line="240" w:lineRule="auto"/>
        <w:rPr>
          <w:rFonts w:cstheme="minorHAnsi"/>
          <w:color w:val="ED7D31" w:themeColor="accent2"/>
        </w:rPr>
      </w:pPr>
      <w:r>
        <w:rPr>
          <w:rFonts w:cstheme="minorHAnsi"/>
          <w:b/>
          <w:bCs/>
          <w:color w:val="ED7D31" w:themeColor="accent2"/>
        </w:rPr>
        <w:tab/>
      </w:r>
      <w:r>
        <w:rPr>
          <w:rFonts w:cstheme="minorHAnsi"/>
          <w:b/>
          <w:bCs/>
          <w:color w:val="ED7D31" w:themeColor="accent2"/>
        </w:rPr>
        <w:tab/>
      </w:r>
      <w:r>
        <w:rPr>
          <w:rFonts w:cstheme="minorHAnsi"/>
          <w:b/>
          <w:bCs/>
          <w:color w:val="ED7D31" w:themeColor="accent2"/>
        </w:rPr>
        <w:tab/>
      </w:r>
      <w:r>
        <w:rPr>
          <w:rFonts w:cstheme="minorHAnsi"/>
          <w:b/>
          <w:bCs/>
          <w:color w:val="ED7D31" w:themeColor="accent2"/>
        </w:rPr>
        <w:tab/>
      </w:r>
      <w:r>
        <w:rPr>
          <w:rFonts w:cstheme="minorHAnsi"/>
          <w:b/>
          <w:bCs/>
          <w:color w:val="ED7D31" w:themeColor="accent2"/>
        </w:rPr>
        <w:tab/>
      </w:r>
      <w:r>
        <w:rPr>
          <w:rFonts w:cstheme="minorHAnsi"/>
          <w:b/>
          <w:bCs/>
          <w:color w:val="ED7D31" w:themeColor="accent2"/>
        </w:rPr>
        <w:tab/>
      </w:r>
      <w:r>
        <w:rPr>
          <w:rFonts w:cstheme="minorHAnsi"/>
          <w:b/>
          <w:bCs/>
          <w:color w:val="ED7D31" w:themeColor="accent2"/>
        </w:rPr>
        <w:tab/>
      </w:r>
    </w:p>
    <w:p w:rsidR="00B70C21" w:rsidRDefault="00B70C21" w:rsidP="003603EE">
      <w:pPr>
        <w:pStyle w:val="NoSpacing"/>
      </w:pPr>
      <w:r>
        <w:rPr>
          <w:color w:val="4472C4" w:themeColor="accent5"/>
        </w:rPr>
        <w:tab/>
      </w:r>
    </w:p>
    <w:p w:rsidR="008A7BB0" w:rsidRPr="00B70C21" w:rsidRDefault="008A7BB0" w:rsidP="00773495">
      <w:pPr>
        <w:rPr>
          <w:color w:val="4472C4" w:themeColor="accent5"/>
        </w:rPr>
      </w:pPr>
    </w:p>
    <w:p w:rsidR="008A7BB0" w:rsidRPr="00B70C21" w:rsidRDefault="008A7BB0" w:rsidP="00773495">
      <w:pPr>
        <w:rPr>
          <w:color w:val="4472C4" w:themeColor="accent5"/>
        </w:rPr>
      </w:pPr>
    </w:p>
    <w:p w:rsidR="00DD2607" w:rsidRPr="00DD2607" w:rsidRDefault="00DD2607" w:rsidP="00DD2607">
      <w:pPr>
        <w:autoSpaceDE w:val="0"/>
        <w:autoSpaceDN w:val="0"/>
        <w:adjustRightInd w:val="0"/>
        <w:spacing w:after="0" w:line="240" w:lineRule="auto"/>
        <w:rPr>
          <w:rFonts w:ascii="Raleway" w:hAnsi="Raleway" w:cs="Raleway"/>
          <w:color w:val="000000"/>
          <w:sz w:val="24"/>
          <w:szCs w:val="24"/>
        </w:rPr>
      </w:pPr>
    </w:p>
    <w:p w:rsidR="00DD2607" w:rsidRPr="00DD2607" w:rsidRDefault="00DD2607" w:rsidP="00DD2607">
      <w:pPr>
        <w:autoSpaceDE w:val="0"/>
        <w:autoSpaceDN w:val="0"/>
        <w:adjustRightInd w:val="0"/>
        <w:spacing w:after="0" w:line="240" w:lineRule="auto"/>
        <w:rPr>
          <w:rFonts w:cstheme="minorHAnsi"/>
          <w:color w:val="252525"/>
          <w:sz w:val="36"/>
          <w:szCs w:val="36"/>
        </w:rPr>
      </w:pPr>
      <w:r w:rsidRPr="00DD2607">
        <w:rPr>
          <w:rFonts w:cstheme="minorHAnsi"/>
          <w:b/>
          <w:bCs/>
          <w:color w:val="252525"/>
          <w:sz w:val="36"/>
          <w:szCs w:val="36"/>
        </w:rPr>
        <w:t>C</w:t>
      </w:r>
      <w:r w:rsidR="0003160B">
        <w:rPr>
          <w:rFonts w:cstheme="minorHAnsi"/>
          <w:b/>
          <w:bCs/>
          <w:color w:val="252525"/>
          <w:sz w:val="36"/>
          <w:szCs w:val="36"/>
        </w:rPr>
        <w:t>ourse grading</w:t>
      </w:r>
      <w:r w:rsidRPr="00DD2607">
        <w:rPr>
          <w:rFonts w:cstheme="minorHAnsi"/>
          <w:b/>
          <w:bCs/>
          <w:color w:val="252525"/>
          <w:sz w:val="36"/>
          <w:szCs w:val="36"/>
        </w:rPr>
        <w:t xml:space="preserve"> </w:t>
      </w:r>
    </w:p>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The course grading scheme follows. When a course grade falls between int</w:t>
      </w:r>
      <w:r w:rsidR="0003160B">
        <w:rPr>
          <w:rFonts w:cstheme="minorHAnsi"/>
          <w:color w:val="252525"/>
        </w:rPr>
        <w:t>egers, I apply a standard round</w:t>
      </w:r>
      <w:r w:rsidRPr="00DD2607">
        <w:rPr>
          <w:rFonts w:cstheme="minorHAnsi"/>
          <w:color w:val="252525"/>
        </w:rPr>
        <w:t xml:space="preserve">ing procedure: any point total that ends in .0 to .49 will be rounded down to the nearest whole number, while any point total that ends in .50 to .99 will be rounded up. There is no extra credit in this course. </w:t>
      </w:r>
    </w:p>
    <w:tbl>
      <w:tblPr>
        <w:tblW w:w="12420" w:type="dxa"/>
        <w:tblBorders>
          <w:top w:val="nil"/>
          <w:left w:val="nil"/>
          <w:bottom w:val="nil"/>
          <w:right w:val="nil"/>
        </w:tblBorders>
        <w:tblLayout w:type="fixed"/>
        <w:tblLook w:val="0000" w:firstRow="0" w:lastRow="0" w:firstColumn="0" w:lastColumn="0" w:noHBand="0" w:noVBand="0"/>
      </w:tblPr>
      <w:tblGrid>
        <w:gridCol w:w="3623"/>
        <w:gridCol w:w="2335"/>
        <w:gridCol w:w="6462"/>
      </w:tblGrid>
      <w:tr w:rsidR="00DD2607" w:rsidRPr="00DD2607" w:rsidTr="00DD2607">
        <w:trPr>
          <w:trHeight w:val="262"/>
        </w:trPr>
        <w:tc>
          <w:tcPr>
            <w:tcW w:w="3623" w:type="dxa"/>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FFFFFF"/>
              </w:rPr>
              <w:t xml:space="preserve">Course Points </w:t>
            </w:r>
          </w:p>
        </w:tc>
        <w:tc>
          <w:tcPr>
            <w:tcW w:w="2335" w:type="dxa"/>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FFFFFF"/>
              </w:rPr>
              <w:t xml:space="preserve">Letter Grade </w:t>
            </w:r>
          </w:p>
        </w:tc>
        <w:tc>
          <w:tcPr>
            <w:tcW w:w="6462" w:type="dxa"/>
          </w:tcPr>
          <w:p w:rsidR="00DD2607" w:rsidRPr="00DD2607" w:rsidRDefault="00DD2607" w:rsidP="00DD2607">
            <w:pPr>
              <w:autoSpaceDE w:val="0"/>
              <w:autoSpaceDN w:val="0"/>
              <w:adjustRightInd w:val="0"/>
              <w:spacing w:after="0" w:line="240" w:lineRule="auto"/>
              <w:rPr>
                <w:rFonts w:cstheme="minorHAnsi"/>
                <w:color w:val="FFFFFF"/>
              </w:rPr>
            </w:pPr>
            <w:r w:rsidRPr="00DD2607">
              <w:rPr>
                <w:rFonts w:cstheme="minorHAnsi"/>
                <w:color w:val="FFFFFF"/>
              </w:rPr>
              <w:t xml:space="preserve">Description </w:t>
            </w:r>
          </w:p>
        </w:tc>
      </w:tr>
      <w:tr w:rsidR="00DD2607" w:rsidRPr="00DD2607" w:rsidTr="00DD2607">
        <w:trPr>
          <w:trHeight w:val="257"/>
        </w:trPr>
        <w:tc>
          <w:tcPr>
            <w:tcW w:w="3623"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93-100</w:t>
            </w:r>
          </w:p>
        </w:tc>
        <w:tc>
          <w:tcPr>
            <w:tcW w:w="2335"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A</w:t>
            </w:r>
          </w:p>
        </w:tc>
        <w:tc>
          <w:tcPr>
            <w:tcW w:w="6462"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Outstanding work in terms of content, quality, and cr</w:t>
            </w:r>
            <w:r>
              <w:rPr>
                <w:rFonts w:cstheme="minorHAnsi"/>
                <w:color w:val="000000"/>
              </w:rPr>
              <w:t>eativity of written and oral ex</w:t>
            </w:r>
            <w:r w:rsidRPr="00DD2607">
              <w:rPr>
                <w:rFonts w:cstheme="minorHAnsi"/>
                <w:color w:val="000000"/>
              </w:rPr>
              <w:t xml:space="preserve">pression. </w:t>
            </w:r>
          </w:p>
        </w:tc>
      </w:tr>
      <w:tr w:rsidR="00DD2607" w:rsidRPr="00DD2607" w:rsidTr="00DD2607">
        <w:trPr>
          <w:trHeight w:val="257"/>
        </w:trPr>
        <w:tc>
          <w:tcPr>
            <w:tcW w:w="3623"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90-92</w:t>
            </w:r>
          </w:p>
        </w:tc>
        <w:tc>
          <w:tcPr>
            <w:tcW w:w="2335"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A-</w:t>
            </w:r>
          </w:p>
        </w:tc>
        <w:tc>
          <w:tcPr>
            <w:tcW w:w="6462"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 xml:space="preserve">Very good work—thorough in content and generally well written, though with minor flaws and/or omissions. </w:t>
            </w:r>
          </w:p>
        </w:tc>
      </w:tr>
      <w:tr w:rsidR="00DD2607" w:rsidRPr="00DD2607" w:rsidTr="00DD2607">
        <w:trPr>
          <w:trHeight w:val="257"/>
        </w:trPr>
        <w:tc>
          <w:tcPr>
            <w:tcW w:w="3623"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87-89</w:t>
            </w:r>
          </w:p>
        </w:tc>
        <w:tc>
          <w:tcPr>
            <w:tcW w:w="2335"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B+</w:t>
            </w:r>
          </w:p>
        </w:tc>
        <w:tc>
          <w:tcPr>
            <w:tcW w:w="6462"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Good work</w:t>
            </w:r>
            <w:r w:rsidRPr="00DD2607">
              <w:rPr>
                <w:rFonts w:cstheme="minorHAnsi"/>
                <w:color w:val="252525"/>
              </w:rPr>
              <w:t>—</w:t>
            </w:r>
            <w:r w:rsidRPr="00DD2607">
              <w:rPr>
                <w:rFonts w:cstheme="minorHAnsi"/>
                <w:color w:val="000000"/>
              </w:rPr>
              <w:t>covers the essentials with adequate dep</w:t>
            </w:r>
            <w:r>
              <w:rPr>
                <w:rFonts w:cstheme="minorHAnsi"/>
                <w:color w:val="000000"/>
              </w:rPr>
              <w:t>th in substance as well as qual</w:t>
            </w:r>
            <w:r w:rsidRPr="00DD2607">
              <w:rPr>
                <w:rFonts w:cstheme="minorHAnsi"/>
                <w:color w:val="000000"/>
              </w:rPr>
              <w:t xml:space="preserve">ity of written/oral expression. </w:t>
            </w:r>
          </w:p>
        </w:tc>
      </w:tr>
      <w:tr w:rsidR="00DD2607" w:rsidRPr="00DD2607" w:rsidTr="00DD2607">
        <w:trPr>
          <w:trHeight w:val="257"/>
        </w:trPr>
        <w:tc>
          <w:tcPr>
            <w:tcW w:w="3623"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lastRenderedPageBreak/>
              <w:t>83-86</w:t>
            </w:r>
          </w:p>
        </w:tc>
        <w:tc>
          <w:tcPr>
            <w:tcW w:w="2335"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B</w:t>
            </w:r>
          </w:p>
        </w:tc>
        <w:tc>
          <w:tcPr>
            <w:tcW w:w="6462" w:type="dxa"/>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Acceptable work</w:t>
            </w:r>
            <w:r w:rsidRPr="00DD2607">
              <w:rPr>
                <w:rFonts w:cstheme="minorHAnsi"/>
                <w:color w:val="252525"/>
              </w:rPr>
              <w:t>—</w:t>
            </w:r>
            <w:r w:rsidRPr="00DD2607">
              <w:rPr>
                <w:rFonts w:cstheme="minorHAnsi"/>
                <w:color w:val="000000"/>
              </w:rPr>
              <w:t xml:space="preserve">covers most of the essentials with adequate quality of written/oral expression, though lacks depth in some explanations of subject matter. </w:t>
            </w:r>
          </w:p>
        </w:tc>
      </w:tr>
      <w:tr w:rsidR="00DD2607" w:rsidRPr="00DD2607" w:rsidTr="00DD2607">
        <w:trPr>
          <w:trHeight w:val="404"/>
        </w:trPr>
        <w:tc>
          <w:tcPr>
            <w:tcW w:w="3623"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80-82</w:t>
            </w:r>
          </w:p>
        </w:tc>
        <w:tc>
          <w:tcPr>
            <w:tcW w:w="2335"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B-</w:t>
            </w:r>
          </w:p>
        </w:tc>
        <w:tc>
          <w:tcPr>
            <w:tcW w:w="6462"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Marginal work</w:t>
            </w:r>
            <w:r w:rsidRPr="00DD2607">
              <w:rPr>
                <w:rFonts w:cstheme="minorHAnsi"/>
                <w:color w:val="252525"/>
              </w:rPr>
              <w:t>—</w:t>
            </w:r>
            <w:r w:rsidRPr="00DD2607">
              <w:rPr>
                <w:rFonts w:cstheme="minorHAnsi"/>
                <w:color w:val="000000"/>
              </w:rPr>
              <w:t>borders on unacceptable</w:t>
            </w:r>
            <w:r w:rsidRPr="00DD2607">
              <w:rPr>
                <w:rFonts w:cstheme="minorHAnsi"/>
                <w:color w:val="252525"/>
              </w:rPr>
              <w:t>—</w:t>
            </w:r>
            <w:r w:rsidRPr="00DD2607">
              <w:rPr>
                <w:rFonts w:cstheme="minorHAnsi"/>
                <w:color w:val="000000"/>
              </w:rPr>
              <w:t xml:space="preserve">weak written/oral expression, coverage of subject matter lacks attention to some essential points and/or is overly vague about them. </w:t>
            </w:r>
          </w:p>
        </w:tc>
      </w:tr>
      <w:tr w:rsidR="00DD2607" w:rsidRPr="00DD2607" w:rsidTr="00DD2607">
        <w:trPr>
          <w:trHeight w:val="257"/>
        </w:trPr>
        <w:tc>
          <w:tcPr>
            <w:tcW w:w="3623"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73-79</w:t>
            </w:r>
          </w:p>
        </w:tc>
        <w:tc>
          <w:tcPr>
            <w:tcW w:w="2335" w:type="dxa"/>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C+/C</w:t>
            </w:r>
          </w:p>
        </w:tc>
        <w:tc>
          <w:tcPr>
            <w:tcW w:w="6462" w:type="dxa"/>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Below standard</w:t>
            </w:r>
            <w:r w:rsidRPr="00DD2607">
              <w:rPr>
                <w:rFonts w:cstheme="minorHAnsi"/>
                <w:color w:val="252525"/>
              </w:rPr>
              <w:t>—</w:t>
            </w:r>
            <w:r w:rsidRPr="00DD2607">
              <w:rPr>
                <w:rFonts w:cstheme="minorHAnsi"/>
                <w:color w:val="000000"/>
              </w:rPr>
              <w:t xml:space="preserve">lacks adequate coverage of essential points, written/oral expression is very weak. </w:t>
            </w:r>
          </w:p>
        </w:tc>
      </w:tr>
      <w:tr w:rsidR="00DD2607" w:rsidRPr="00DD2607" w:rsidTr="00DD2607">
        <w:trPr>
          <w:trHeight w:val="257"/>
        </w:trPr>
        <w:tc>
          <w:tcPr>
            <w:tcW w:w="3623"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&gt;72</w:t>
            </w:r>
          </w:p>
        </w:tc>
        <w:tc>
          <w:tcPr>
            <w:tcW w:w="2335"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252525"/>
              </w:rPr>
            </w:pPr>
            <w:r w:rsidRPr="00DD2607">
              <w:rPr>
                <w:rFonts w:cstheme="minorHAnsi"/>
                <w:color w:val="252525"/>
              </w:rPr>
              <w:t>C- and below</w:t>
            </w:r>
          </w:p>
        </w:tc>
        <w:tc>
          <w:tcPr>
            <w:tcW w:w="6462" w:type="dxa"/>
            <w:shd w:val="clear" w:color="auto" w:fill="F7CAAC" w:themeFill="accent2" w:themeFillTint="66"/>
          </w:tcPr>
          <w:p w:rsidR="00DD2607" w:rsidRPr="00DD2607" w:rsidRDefault="00DD2607" w:rsidP="00DD2607">
            <w:pPr>
              <w:autoSpaceDE w:val="0"/>
              <w:autoSpaceDN w:val="0"/>
              <w:adjustRightInd w:val="0"/>
              <w:spacing w:after="0" w:line="240" w:lineRule="auto"/>
              <w:rPr>
                <w:rFonts w:cstheme="minorHAnsi"/>
                <w:color w:val="000000"/>
              </w:rPr>
            </w:pPr>
            <w:r w:rsidRPr="00DD2607">
              <w:rPr>
                <w:rFonts w:cstheme="minorHAnsi"/>
                <w:color w:val="000000"/>
              </w:rPr>
              <w:t xml:space="preserve">Inadequate work/performance overall. Fails to answer questions, writing is very con-fusing, vague, and/or does not cover many essential points. </w:t>
            </w:r>
          </w:p>
        </w:tc>
      </w:tr>
    </w:tbl>
    <w:p w:rsidR="00DD2607" w:rsidRDefault="00DD2607" w:rsidP="00773495"/>
    <w:p w:rsidR="00394955" w:rsidRDefault="00394955" w:rsidP="00773495"/>
    <w:p w:rsidR="00394955" w:rsidRPr="00394955" w:rsidRDefault="00394955" w:rsidP="00394955">
      <w:pPr>
        <w:autoSpaceDE w:val="0"/>
        <w:autoSpaceDN w:val="0"/>
        <w:adjustRightInd w:val="0"/>
        <w:spacing w:after="0" w:line="240" w:lineRule="auto"/>
        <w:rPr>
          <w:rFonts w:ascii="Raleway" w:hAnsi="Raleway" w:cs="Raleway"/>
          <w:color w:val="000000"/>
          <w:sz w:val="24"/>
          <w:szCs w:val="24"/>
        </w:rPr>
      </w:pPr>
    </w:p>
    <w:p w:rsidR="00394955" w:rsidRPr="00394955" w:rsidRDefault="00394955" w:rsidP="00394955">
      <w:pPr>
        <w:autoSpaceDE w:val="0"/>
        <w:autoSpaceDN w:val="0"/>
        <w:adjustRightInd w:val="0"/>
        <w:spacing w:after="0" w:line="240" w:lineRule="auto"/>
        <w:rPr>
          <w:rFonts w:cstheme="minorHAnsi"/>
          <w:color w:val="252525"/>
          <w:sz w:val="36"/>
          <w:szCs w:val="36"/>
        </w:rPr>
      </w:pPr>
      <w:r w:rsidRPr="00394955">
        <w:rPr>
          <w:rFonts w:cstheme="minorHAnsi"/>
          <w:b/>
          <w:bCs/>
          <w:color w:val="252525"/>
          <w:sz w:val="36"/>
          <w:szCs w:val="36"/>
        </w:rPr>
        <w:t>C</w:t>
      </w:r>
      <w:r>
        <w:rPr>
          <w:rFonts w:cstheme="minorHAnsi"/>
          <w:b/>
          <w:bCs/>
          <w:color w:val="252525"/>
          <w:sz w:val="36"/>
          <w:szCs w:val="36"/>
        </w:rPr>
        <w:t>onduct policies, accommodations &amp; resources</w:t>
      </w:r>
      <w:r w:rsidRPr="00394955">
        <w:rPr>
          <w:rFonts w:cstheme="minorHAnsi"/>
          <w:b/>
          <w:bCs/>
          <w:color w:val="252525"/>
          <w:sz w:val="36"/>
          <w:szCs w:val="36"/>
        </w:rPr>
        <w:t xml:space="preserve"> </w:t>
      </w:r>
    </w:p>
    <w:p w:rsidR="00394955" w:rsidRPr="00394955" w:rsidRDefault="00394955" w:rsidP="00394955">
      <w:pPr>
        <w:autoSpaceDE w:val="0"/>
        <w:autoSpaceDN w:val="0"/>
        <w:adjustRightInd w:val="0"/>
        <w:spacing w:after="0" w:line="240" w:lineRule="auto"/>
        <w:rPr>
          <w:rFonts w:cstheme="minorHAnsi"/>
          <w:b/>
          <w:bCs/>
          <w:color w:val="C07100"/>
          <w:sz w:val="28"/>
          <w:szCs w:val="28"/>
        </w:rPr>
      </w:pPr>
    </w:p>
    <w:p w:rsidR="00394955" w:rsidRPr="00394955" w:rsidRDefault="00394955" w:rsidP="00394955">
      <w:pPr>
        <w:autoSpaceDE w:val="0"/>
        <w:autoSpaceDN w:val="0"/>
        <w:adjustRightInd w:val="0"/>
        <w:spacing w:after="0" w:line="240" w:lineRule="auto"/>
        <w:rPr>
          <w:rFonts w:cstheme="minorHAnsi"/>
          <w:color w:val="C07100"/>
        </w:rPr>
      </w:pPr>
      <w:r w:rsidRPr="00394955">
        <w:rPr>
          <w:rFonts w:cstheme="minorHAnsi"/>
          <w:b/>
          <w:bCs/>
          <w:color w:val="C07100"/>
        </w:rPr>
        <w:t xml:space="preserve">ACADEMIC HONESTY </w:t>
      </w:r>
    </w:p>
    <w:p w:rsidR="00394955" w:rsidRPr="0091598A" w:rsidRDefault="00394955" w:rsidP="00394955">
      <w:pPr>
        <w:autoSpaceDE w:val="0"/>
        <w:autoSpaceDN w:val="0"/>
        <w:adjustRightInd w:val="0"/>
        <w:spacing w:after="0" w:line="240" w:lineRule="auto"/>
        <w:rPr>
          <w:rFonts w:cstheme="minorHAnsi"/>
        </w:rPr>
      </w:pPr>
      <w:r w:rsidRPr="00394955">
        <w:rPr>
          <w:rFonts w:cstheme="minorHAnsi"/>
          <w:color w:val="252525"/>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the Faculty Rules and Regulations, it is the faculty responsibility to enforce responsible classroom behaviors, and I will do so, beginning with verbal warnings and progressing to dismissal from class and a failing grade. Students have </w:t>
      </w:r>
      <w:r w:rsidRPr="00394955">
        <w:rPr>
          <w:rFonts w:cstheme="minorHAnsi"/>
        </w:rPr>
        <w:t xml:space="preserve">the right to appeal such action to </w:t>
      </w:r>
      <w:r w:rsidR="0091598A" w:rsidRPr="0091598A">
        <w:rPr>
          <w:rFonts w:cstheme="minorHAnsi"/>
        </w:rPr>
        <w:t>the Student Behavior Committee.</w:t>
      </w:r>
    </w:p>
    <w:p w:rsidR="0091598A" w:rsidRPr="0091598A" w:rsidRDefault="0091598A" w:rsidP="0091598A">
      <w:pPr>
        <w:autoSpaceDE w:val="0"/>
        <w:autoSpaceDN w:val="0"/>
        <w:adjustRightInd w:val="0"/>
        <w:spacing w:after="0" w:line="240" w:lineRule="auto"/>
        <w:rPr>
          <w:rFonts w:ascii="Open Sans" w:hAnsi="Open Sans" w:cs="Open Sans"/>
          <w:sz w:val="24"/>
          <w:szCs w:val="24"/>
        </w:rPr>
      </w:pPr>
    </w:p>
    <w:p w:rsidR="0091598A" w:rsidRDefault="0091598A" w:rsidP="009159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b/>
        </w:rPr>
      </w:pPr>
    </w:p>
    <w:p w:rsidR="0091598A" w:rsidRPr="0091598A" w:rsidRDefault="0091598A" w:rsidP="009159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b/>
        </w:rPr>
      </w:pPr>
      <w:r w:rsidRPr="0091598A">
        <w:rPr>
          <w:rFonts w:ascii="Open Sans" w:hAnsi="Open Sans" w:cs="Open Sans"/>
          <w:b/>
        </w:rPr>
        <w:t>Academic dishonesty will not be tolerated, as public service is a calling that requires students - future and current administrators - to understand the importance of ethical behavior in all facets of their work, including their academic coursework. The University of Utah and the Program in Public Administration expect students to adhere to generally accepted standards of academic conduct. Academic misconduct is defined in the University’s student code as follows: Academic dishonesty includes, but is not limited to cheating, misrepresenting one’s work, inappropriately col</w:t>
      </w:r>
      <w:r>
        <w:rPr>
          <w:rFonts w:ascii="Open Sans" w:hAnsi="Open Sans" w:cs="Open Sans"/>
          <w:b/>
        </w:rPr>
        <w:t>laborating, plagiarism, and fab</w:t>
      </w:r>
      <w:r w:rsidRPr="0091598A">
        <w:rPr>
          <w:rFonts w:ascii="Open Sans" w:hAnsi="Open Sans" w:cs="Open Sans"/>
          <w:b/>
        </w:rPr>
        <w:t xml:space="preserve">rication or falsification of information. Cases of academic misconduct will be dealt with immediately and may result in failure of the class. It is expected that you will cite for every assignment—give credit where credit is due! </w:t>
      </w:r>
    </w:p>
    <w:p w:rsidR="0091598A" w:rsidRDefault="0091598A" w:rsidP="009159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b/>
        </w:rPr>
      </w:pPr>
    </w:p>
    <w:p w:rsidR="0091598A" w:rsidRDefault="0091598A" w:rsidP="009159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b/>
        </w:rPr>
      </w:pPr>
      <w:r w:rsidRPr="0091598A">
        <w:rPr>
          <w:rFonts w:ascii="Open Sans" w:hAnsi="Open Sans" w:cs="Open Sans"/>
          <w:b/>
        </w:rPr>
        <w:t xml:space="preserve">Please read the entire MPA Academic Honesty Statement at: </w:t>
      </w:r>
      <w:hyperlink r:id="rId5" w:history="1">
        <w:r w:rsidRPr="00A9476C">
          <w:rPr>
            <w:rStyle w:val="Hyperlink"/>
            <w:rFonts w:ascii="Open Sans" w:hAnsi="Open Sans" w:cs="Open Sans"/>
            <w:b/>
          </w:rPr>
          <w:t>www.mpa.utah.edu</w:t>
        </w:r>
      </w:hyperlink>
    </w:p>
    <w:p w:rsidR="0091598A" w:rsidRPr="00394955" w:rsidRDefault="0091598A" w:rsidP="009159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rPr>
      </w:pPr>
    </w:p>
    <w:p w:rsidR="00394955" w:rsidRPr="0091598A" w:rsidRDefault="00394955" w:rsidP="00394955">
      <w:pPr>
        <w:autoSpaceDE w:val="0"/>
        <w:autoSpaceDN w:val="0"/>
        <w:adjustRightInd w:val="0"/>
        <w:spacing w:after="0" w:line="240" w:lineRule="auto"/>
        <w:rPr>
          <w:rFonts w:cstheme="minorHAnsi"/>
          <w:b/>
          <w:bCs/>
          <w:sz w:val="28"/>
          <w:szCs w:val="28"/>
        </w:rPr>
      </w:pPr>
    </w:p>
    <w:p w:rsidR="00394955" w:rsidRPr="00394955" w:rsidRDefault="00394955" w:rsidP="00394955">
      <w:pPr>
        <w:autoSpaceDE w:val="0"/>
        <w:autoSpaceDN w:val="0"/>
        <w:adjustRightInd w:val="0"/>
        <w:spacing w:after="0" w:line="240" w:lineRule="auto"/>
        <w:rPr>
          <w:rFonts w:cstheme="minorHAnsi"/>
          <w:color w:val="C07100"/>
        </w:rPr>
      </w:pPr>
      <w:r w:rsidRPr="00394955">
        <w:rPr>
          <w:rFonts w:cstheme="minorHAnsi"/>
          <w:b/>
          <w:bCs/>
          <w:color w:val="C07100"/>
        </w:rPr>
        <w:t xml:space="preserve">ADDRESSING SEXUAL MISCONDUCT </w:t>
      </w:r>
    </w:p>
    <w:p w:rsidR="00394955" w:rsidRPr="00394955" w:rsidRDefault="00394955" w:rsidP="00394955">
      <w:pPr>
        <w:autoSpaceDE w:val="0"/>
        <w:autoSpaceDN w:val="0"/>
        <w:adjustRightInd w:val="0"/>
        <w:spacing w:after="0" w:line="240" w:lineRule="auto"/>
        <w:rPr>
          <w:rFonts w:cstheme="minorHAnsi"/>
          <w:color w:val="252525"/>
        </w:rPr>
      </w:pPr>
      <w:r w:rsidRPr="00394955">
        <w:rPr>
          <w:rFonts w:cstheme="minorHAnsi"/>
          <w:color w:val="252525"/>
        </w:rPr>
        <w:t>Title IX makes it clear that violence and harassment based on sex and gend</w:t>
      </w:r>
      <w:r>
        <w:rPr>
          <w:rFonts w:cstheme="minorHAnsi"/>
          <w:color w:val="252525"/>
        </w:rPr>
        <w:t>er (which Includes sexual orientation</w:t>
      </w:r>
      <w:r w:rsidRPr="00394955">
        <w:rPr>
          <w:rFonts w:cstheme="minorHAnsi"/>
          <w:color w:val="252525"/>
        </w:rPr>
        <w:t xml:space="preserve">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801- 581-8365, or the Office of the Dean of Students, 270 Union Building, 801-581-7066. For </w:t>
      </w:r>
      <w:r>
        <w:rPr>
          <w:rFonts w:cstheme="minorHAnsi"/>
          <w:color w:val="252525"/>
        </w:rPr>
        <w:t>support and confidential consul</w:t>
      </w:r>
      <w:r w:rsidRPr="00394955">
        <w:rPr>
          <w:rFonts w:cstheme="minorHAnsi"/>
          <w:color w:val="252525"/>
        </w:rPr>
        <w:t xml:space="preserve">tation, contact the Center for Student Wellness, 426 SSB, </w:t>
      </w:r>
      <w:proofErr w:type="gramStart"/>
      <w:r w:rsidRPr="00394955">
        <w:rPr>
          <w:rFonts w:cstheme="minorHAnsi"/>
          <w:color w:val="252525"/>
        </w:rPr>
        <w:t>801</w:t>
      </w:r>
      <w:proofErr w:type="gramEnd"/>
      <w:r w:rsidRPr="00394955">
        <w:rPr>
          <w:rFonts w:cstheme="minorHAnsi"/>
          <w:color w:val="252525"/>
        </w:rPr>
        <w:t xml:space="preserve">-581-7776. To report to the police, contact the Department of Public Safety, 801-585- 2677(COPS). </w:t>
      </w:r>
    </w:p>
    <w:p w:rsidR="00394955" w:rsidRPr="00394955" w:rsidRDefault="00394955" w:rsidP="00394955">
      <w:pPr>
        <w:autoSpaceDE w:val="0"/>
        <w:autoSpaceDN w:val="0"/>
        <w:adjustRightInd w:val="0"/>
        <w:spacing w:after="0" w:line="240" w:lineRule="auto"/>
        <w:rPr>
          <w:rFonts w:cstheme="minorHAnsi"/>
          <w:b/>
          <w:bCs/>
          <w:color w:val="C07100"/>
          <w:sz w:val="28"/>
          <w:szCs w:val="28"/>
        </w:rPr>
      </w:pPr>
    </w:p>
    <w:p w:rsidR="00394955" w:rsidRPr="00394955" w:rsidRDefault="00394955" w:rsidP="00394955">
      <w:pPr>
        <w:autoSpaceDE w:val="0"/>
        <w:autoSpaceDN w:val="0"/>
        <w:adjustRightInd w:val="0"/>
        <w:spacing w:after="0" w:line="240" w:lineRule="auto"/>
        <w:rPr>
          <w:rFonts w:cstheme="minorHAnsi"/>
          <w:color w:val="C07100"/>
        </w:rPr>
      </w:pPr>
      <w:r w:rsidRPr="00394955">
        <w:rPr>
          <w:rFonts w:cstheme="minorHAnsi"/>
          <w:b/>
          <w:bCs/>
          <w:color w:val="C07100"/>
        </w:rPr>
        <w:t xml:space="preserve">GENERAL WELLNESS RESOURCES </w:t>
      </w:r>
    </w:p>
    <w:p w:rsidR="00394955" w:rsidRPr="00394955" w:rsidRDefault="00394955" w:rsidP="00394955">
      <w:pPr>
        <w:autoSpaceDE w:val="0"/>
        <w:autoSpaceDN w:val="0"/>
        <w:adjustRightInd w:val="0"/>
        <w:spacing w:after="0" w:line="240" w:lineRule="auto"/>
        <w:rPr>
          <w:rFonts w:cstheme="minorHAnsi"/>
          <w:color w:val="252525"/>
        </w:rPr>
      </w:pPr>
      <w:r w:rsidRPr="00394955">
        <w:rPr>
          <w:rFonts w:cstheme="minorHAnsi"/>
          <w:color w:val="252525"/>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at </w:t>
      </w:r>
      <w:r w:rsidRPr="00394955">
        <w:rPr>
          <w:rFonts w:cstheme="minorHAnsi"/>
          <w:u w:val="single"/>
        </w:rPr>
        <w:t>www.wellness.utah.edu</w:t>
      </w:r>
      <w:r w:rsidRPr="00394955">
        <w:rPr>
          <w:rFonts w:cstheme="minorHAnsi"/>
        </w:rPr>
        <w:t xml:space="preserve"> </w:t>
      </w:r>
      <w:r w:rsidRPr="00394955">
        <w:rPr>
          <w:rFonts w:cstheme="minorHAnsi"/>
          <w:color w:val="252525"/>
        </w:rPr>
        <w:t xml:space="preserve">or 801-581-7776. </w:t>
      </w:r>
    </w:p>
    <w:p w:rsidR="00394955" w:rsidRPr="00394955" w:rsidRDefault="00394955" w:rsidP="00394955">
      <w:pPr>
        <w:autoSpaceDE w:val="0"/>
        <w:autoSpaceDN w:val="0"/>
        <w:adjustRightInd w:val="0"/>
        <w:spacing w:after="0" w:line="240" w:lineRule="auto"/>
        <w:rPr>
          <w:rFonts w:cstheme="minorHAnsi"/>
          <w:b/>
          <w:bCs/>
          <w:color w:val="C07100"/>
          <w:sz w:val="28"/>
          <w:szCs w:val="28"/>
        </w:rPr>
      </w:pPr>
    </w:p>
    <w:p w:rsidR="00394955" w:rsidRPr="00394955" w:rsidRDefault="00394955" w:rsidP="00394955">
      <w:pPr>
        <w:autoSpaceDE w:val="0"/>
        <w:autoSpaceDN w:val="0"/>
        <w:adjustRightInd w:val="0"/>
        <w:spacing w:after="0" w:line="240" w:lineRule="auto"/>
        <w:rPr>
          <w:rFonts w:cstheme="minorHAnsi"/>
          <w:color w:val="C07100"/>
        </w:rPr>
      </w:pPr>
      <w:r w:rsidRPr="00394955">
        <w:rPr>
          <w:rFonts w:cstheme="minorHAnsi"/>
          <w:b/>
          <w:bCs/>
          <w:color w:val="C07100"/>
        </w:rPr>
        <w:t xml:space="preserve">ADA RESOURCES </w:t>
      </w:r>
    </w:p>
    <w:p w:rsidR="00394955" w:rsidRDefault="00394955" w:rsidP="00394955">
      <w:pPr>
        <w:autoSpaceDE w:val="0"/>
        <w:autoSpaceDN w:val="0"/>
        <w:adjustRightInd w:val="0"/>
        <w:spacing w:after="0" w:line="240" w:lineRule="auto"/>
        <w:rPr>
          <w:rFonts w:cstheme="minorHAnsi"/>
          <w:color w:val="252525"/>
        </w:rPr>
      </w:pPr>
      <w:r w:rsidRPr="00394955">
        <w:rPr>
          <w:rFonts w:cstheme="minorHAnsi"/>
          <w:color w:val="252525"/>
        </w:rPr>
        <w:t xml:space="preserve">The University of Utah seeks to provide equal access to its programs, services and activities for people with disabilities. If you will need accommodations in the class, reasonable prior notice needs to be given to the instructor, as well as to the Center for Disability Services, 162 Olpin Union Building, 581-5020 (V/TDD). CDS will work with you and the instructor to make arrangements for accommodations. All written information in this course can be made available in alternative format with prior notification to the </w:t>
      </w:r>
      <w:r w:rsidR="00D63323">
        <w:rPr>
          <w:rFonts w:cstheme="minorHAnsi"/>
          <w:color w:val="252525"/>
        </w:rPr>
        <w:t>Center for Disability Services.</w:t>
      </w:r>
    </w:p>
    <w:p w:rsidR="00D63323" w:rsidRPr="00D63323" w:rsidRDefault="00D63323" w:rsidP="00D63323">
      <w:pPr>
        <w:autoSpaceDE w:val="0"/>
        <w:autoSpaceDN w:val="0"/>
        <w:adjustRightInd w:val="0"/>
        <w:spacing w:after="0" w:line="240" w:lineRule="auto"/>
        <w:rPr>
          <w:rFonts w:cstheme="minorHAnsi"/>
          <w:color w:val="000000"/>
          <w:sz w:val="24"/>
          <w:szCs w:val="24"/>
        </w:rPr>
      </w:pPr>
    </w:p>
    <w:p w:rsidR="00D63323" w:rsidRPr="00D63323" w:rsidRDefault="00D63323" w:rsidP="00D63323">
      <w:pPr>
        <w:autoSpaceDE w:val="0"/>
        <w:autoSpaceDN w:val="0"/>
        <w:adjustRightInd w:val="0"/>
        <w:spacing w:after="0" w:line="240" w:lineRule="auto"/>
        <w:rPr>
          <w:rFonts w:cstheme="minorHAnsi"/>
          <w:color w:val="C07100"/>
        </w:rPr>
      </w:pPr>
      <w:r w:rsidRPr="00D63323">
        <w:rPr>
          <w:rFonts w:cstheme="minorHAnsi"/>
          <w:b/>
          <w:bCs/>
          <w:color w:val="C07100"/>
        </w:rPr>
        <w:t xml:space="preserve">LGBTQ RESOURCES </w:t>
      </w:r>
    </w:p>
    <w:p w:rsidR="00D63323" w:rsidRPr="00D63323" w:rsidRDefault="00D63323" w:rsidP="00D63323">
      <w:pPr>
        <w:autoSpaceDE w:val="0"/>
        <w:autoSpaceDN w:val="0"/>
        <w:adjustRightInd w:val="0"/>
        <w:spacing w:after="0" w:line="240" w:lineRule="auto"/>
        <w:rPr>
          <w:rFonts w:cstheme="minorHAnsi"/>
          <w:color w:val="252525"/>
        </w:rPr>
      </w:pPr>
      <w:r w:rsidRPr="00D63323">
        <w:rPr>
          <w:rFonts w:cstheme="minorHAnsi"/>
          <w:color w:val="252525"/>
        </w:rPr>
        <w:t xml:space="preserve">I am committed to inclusivity and respect for all students in the classroom, including and not limited to LGBT individuals. Additionally, the University of Utah has a LGBT Resource Center located in the </w:t>
      </w:r>
      <w:proofErr w:type="spellStart"/>
      <w:r w:rsidRPr="00D63323">
        <w:rPr>
          <w:rFonts w:cstheme="minorHAnsi"/>
          <w:color w:val="252525"/>
        </w:rPr>
        <w:t>Oplin</w:t>
      </w:r>
      <w:proofErr w:type="spellEnd"/>
      <w:r w:rsidRPr="00D63323">
        <w:rPr>
          <w:rFonts w:cstheme="minorHAnsi"/>
          <w:color w:val="252525"/>
        </w:rPr>
        <w:t xml:space="preserve"> Un-ion Building, Room 409. Their website contains more information about the support they offer, a list of events, and links to additional resources: </w:t>
      </w:r>
      <w:r w:rsidRPr="00D63323">
        <w:rPr>
          <w:rFonts w:cstheme="minorHAnsi"/>
          <w:u w:val="single"/>
        </w:rPr>
        <w:t>http://lgbt.utah.edu/</w:t>
      </w:r>
      <w:r w:rsidRPr="00D63323">
        <w:rPr>
          <w:rFonts w:cstheme="minorHAnsi"/>
          <w:color w:val="252525"/>
        </w:rPr>
        <w:t xml:space="preserve">. </w:t>
      </w:r>
    </w:p>
    <w:p w:rsidR="00D63323" w:rsidRPr="00D63323" w:rsidRDefault="00D63323" w:rsidP="00D63323">
      <w:pPr>
        <w:autoSpaceDE w:val="0"/>
        <w:autoSpaceDN w:val="0"/>
        <w:adjustRightInd w:val="0"/>
        <w:spacing w:after="0" w:line="240" w:lineRule="auto"/>
        <w:rPr>
          <w:rFonts w:cstheme="minorHAnsi"/>
          <w:b/>
          <w:bCs/>
          <w:color w:val="C07100"/>
          <w:sz w:val="28"/>
          <w:szCs w:val="28"/>
        </w:rPr>
      </w:pPr>
    </w:p>
    <w:p w:rsidR="00D63323" w:rsidRPr="00D63323" w:rsidRDefault="00D63323" w:rsidP="00D63323">
      <w:pPr>
        <w:autoSpaceDE w:val="0"/>
        <w:autoSpaceDN w:val="0"/>
        <w:adjustRightInd w:val="0"/>
        <w:spacing w:after="0" w:line="240" w:lineRule="auto"/>
        <w:rPr>
          <w:rFonts w:cstheme="minorHAnsi"/>
          <w:color w:val="C07100"/>
        </w:rPr>
      </w:pPr>
      <w:r w:rsidRPr="00D63323">
        <w:rPr>
          <w:rFonts w:cstheme="minorHAnsi"/>
          <w:b/>
          <w:bCs/>
          <w:color w:val="C07100"/>
        </w:rPr>
        <w:t xml:space="preserve">VETERANS RESOURCES </w:t>
      </w:r>
    </w:p>
    <w:p w:rsidR="00D63323" w:rsidRPr="00D63323" w:rsidRDefault="00D63323" w:rsidP="00D63323">
      <w:pPr>
        <w:autoSpaceDE w:val="0"/>
        <w:autoSpaceDN w:val="0"/>
        <w:adjustRightInd w:val="0"/>
        <w:spacing w:after="0" w:line="240" w:lineRule="auto"/>
        <w:rPr>
          <w:rFonts w:cstheme="minorHAnsi"/>
          <w:color w:val="252525"/>
        </w:rPr>
      </w:pPr>
      <w:r w:rsidRPr="00D63323">
        <w:rPr>
          <w:rFonts w:cstheme="minorHAnsi"/>
          <w:color w:val="252525"/>
        </w:rPr>
        <w:t xml:space="preserve">The University of Utah has a Veterans Support Center located in the Olpin Union Building, Room 161. Their website contains information about what support they offer, a list of ongoing events, and links to outside resources: </w:t>
      </w:r>
      <w:r w:rsidRPr="00D63323">
        <w:rPr>
          <w:rFonts w:cstheme="minorHAnsi"/>
          <w:u w:val="single"/>
        </w:rPr>
        <w:t xml:space="preserve">http://veteranscenter.utah.edu/. </w:t>
      </w:r>
    </w:p>
    <w:p w:rsidR="00D63323" w:rsidRPr="00D63323" w:rsidRDefault="00D63323" w:rsidP="00D63323">
      <w:pPr>
        <w:autoSpaceDE w:val="0"/>
        <w:autoSpaceDN w:val="0"/>
        <w:adjustRightInd w:val="0"/>
        <w:spacing w:after="0" w:line="240" w:lineRule="auto"/>
        <w:rPr>
          <w:rFonts w:cstheme="minorHAnsi"/>
          <w:b/>
          <w:bCs/>
          <w:color w:val="C07100"/>
          <w:sz w:val="28"/>
          <w:szCs w:val="28"/>
        </w:rPr>
      </w:pPr>
    </w:p>
    <w:p w:rsidR="00D63323" w:rsidRPr="00D63323" w:rsidRDefault="00D63323" w:rsidP="00D63323">
      <w:pPr>
        <w:autoSpaceDE w:val="0"/>
        <w:autoSpaceDN w:val="0"/>
        <w:adjustRightInd w:val="0"/>
        <w:spacing w:after="0" w:line="240" w:lineRule="auto"/>
        <w:rPr>
          <w:rFonts w:cstheme="minorHAnsi"/>
          <w:color w:val="C07100"/>
        </w:rPr>
      </w:pPr>
      <w:r w:rsidRPr="00D63323">
        <w:rPr>
          <w:rFonts w:cstheme="minorHAnsi"/>
          <w:b/>
          <w:bCs/>
          <w:color w:val="C07100"/>
        </w:rPr>
        <w:lastRenderedPageBreak/>
        <w:t xml:space="preserve">ENGLISH LANGUAGE &amp; WRITING RESOURCES </w:t>
      </w:r>
    </w:p>
    <w:p w:rsidR="00D63323" w:rsidRPr="00394955" w:rsidRDefault="00D63323" w:rsidP="00D63323">
      <w:pPr>
        <w:autoSpaceDE w:val="0"/>
        <w:autoSpaceDN w:val="0"/>
        <w:adjustRightInd w:val="0"/>
        <w:spacing w:after="0" w:line="240" w:lineRule="auto"/>
        <w:rPr>
          <w:rFonts w:cstheme="minorHAnsi"/>
          <w:color w:val="252525"/>
        </w:rPr>
      </w:pPr>
      <w:r w:rsidRPr="00D63323">
        <w:rPr>
          <w:rFonts w:cstheme="minorHAnsi"/>
          <w:color w:val="252525"/>
        </w:rPr>
        <w:t>There several resources on campus that will support English language learners with language and writing development. These resources include the Writing Center (</w:t>
      </w:r>
      <w:r w:rsidRPr="00D63323">
        <w:rPr>
          <w:rFonts w:cstheme="minorHAnsi"/>
          <w:u w:val="single"/>
        </w:rPr>
        <w:t>http://writingcenter.utah.edu/</w:t>
      </w:r>
      <w:r w:rsidRPr="00D63323">
        <w:rPr>
          <w:rFonts w:cstheme="minorHAnsi"/>
          <w:color w:val="252525"/>
        </w:rPr>
        <w:t>), the Writing Pro-gram (</w:t>
      </w:r>
      <w:r w:rsidRPr="00D63323">
        <w:rPr>
          <w:rFonts w:cstheme="minorHAnsi"/>
          <w:u w:val="single"/>
        </w:rPr>
        <w:t>http://writing-program.utah.edu/</w:t>
      </w:r>
      <w:r w:rsidRPr="00D63323">
        <w:rPr>
          <w:rFonts w:cstheme="minorHAnsi"/>
          <w:color w:val="252525"/>
        </w:rPr>
        <w:t xml:space="preserve">), and the English Language Institute </w:t>
      </w:r>
      <w:r w:rsidRPr="00D63323">
        <w:rPr>
          <w:rFonts w:cstheme="minorHAnsi"/>
          <w:u w:val="single"/>
        </w:rPr>
        <w:t>(http://continue.utah.edu/eli/).</w:t>
      </w:r>
    </w:p>
    <w:sectPr w:rsidR="00D63323" w:rsidRPr="00394955" w:rsidSect="004A2B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ode">
    <w:altName w:val="Code"/>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Raleway">
    <w:altName w:val="Raleway Semi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7741"/>
    <w:multiLevelType w:val="hybridMultilevel"/>
    <w:tmpl w:val="AABC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75B9E"/>
    <w:multiLevelType w:val="hybridMultilevel"/>
    <w:tmpl w:val="71D449CE"/>
    <w:lvl w:ilvl="0" w:tplc="F37699B0">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02F0E"/>
    <w:multiLevelType w:val="hybridMultilevel"/>
    <w:tmpl w:val="849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91FAC"/>
    <w:multiLevelType w:val="hybridMultilevel"/>
    <w:tmpl w:val="8E08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C2D05"/>
    <w:multiLevelType w:val="hybridMultilevel"/>
    <w:tmpl w:val="A466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50F11"/>
    <w:multiLevelType w:val="hybridMultilevel"/>
    <w:tmpl w:val="4480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A5025"/>
    <w:multiLevelType w:val="hybridMultilevel"/>
    <w:tmpl w:val="CDCE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A2B5B"/>
    <w:multiLevelType w:val="hybridMultilevel"/>
    <w:tmpl w:val="0DA6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8793E"/>
    <w:multiLevelType w:val="hybridMultilevel"/>
    <w:tmpl w:val="D55CE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A10B3"/>
    <w:multiLevelType w:val="hybridMultilevel"/>
    <w:tmpl w:val="849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B4558"/>
    <w:multiLevelType w:val="hybridMultilevel"/>
    <w:tmpl w:val="01DE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86BA5"/>
    <w:multiLevelType w:val="hybridMultilevel"/>
    <w:tmpl w:val="DAD2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9675F"/>
    <w:multiLevelType w:val="hybridMultilevel"/>
    <w:tmpl w:val="A466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85A04"/>
    <w:multiLevelType w:val="hybridMultilevel"/>
    <w:tmpl w:val="03CAC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92391"/>
    <w:multiLevelType w:val="hybridMultilevel"/>
    <w:tmpl w:val="380A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33CEB"/>
    <w:multiLevelType w:val="hybridMultilevel"/>
    <w:tmpl w:val="A87E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4188E"/>
    <w:multiLevelType w:val="hybridMultilevel"/>
    <w:tmpl w:val="8E08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16DB7"/>
    <w:multiLevelType w:val="hybridMultilevel"/>
    <w:tmpl w:val="849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0"/>
  </w:num>
  <w:num w:numId="5">
    <w:abstractNumId w:val="7"/>
  </w:num>
  <w:num w:numId="6">
    <w:abstractNumId w:val="2"/>
  </w:num>
  <w:num w:numId="7">
    <w:abstractNumId w:val="5"/>
  </w:num>
  <w:num w:numId="8">
    <w:abstractNumId w:val="6"/>
  </w:num>
  <w:num w:numId="9">
    <w:abstractNumId w:val="16"/>
  </w:num>
  <w:num w:numId="10">
    <w:abstractNumId w:val="3"/>
  </w:num>
  <w:num w:numId="11">
    <w:abstractNumId w:val="12"/>
  </w:num>
  <w:num w:numId="12">
    <w:abstractNumId w:val="11"/>
  </w:num>
  <w:num w:numId="13">
    <w:abstractNumId w:val="8"/>
  </w:num>
  <w:num w:numId="14">
    <w:abstractNumId w:val="15"/>
  </w:num>
  <w:num w:numId="15">
    <w:abstractNumId w:val="17"/>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36"/>
    <w:rsid w:val="0003160B"/>
    <w:rsid w:val="00075D7B"/>
    <w:rsid w:val="000853BA"/>
    <w:rsid w:val="000859ED"/>
    <w:rsid w:val="000C0319"/>
    <w:rsid w:val="000C2493"/>
    <w:rsid w:val="000E5A89"/>
    <w:rsid w:val="00105CE7"/>
    <w:rsid w:val="00162FFC"/>
    <w:rsid w:val="00165594"/>
    <w:rsid w:val="001B18BE"/>
    <w:rsid w:val="001D61BB"/>
    <w:rsid w:val="001D756E"/>
    <w:rsid w:val="002109A4"/>
    <w:rsid w:val="002550DF"/>
    <w:rsid w:val="0026311B"/>
    <w:rsid w:val="002D2FA1"/>
    <w:rsid w:val="002E1F16"/>
    <w:rsid w:val="00340716"/>
    <w:rsid w:val="00342BF6"/>
    <w:rsid w:val="00356809"/>
    <w:rsid w:val="003603EE"/>
    <w:rsid w:val="00363EF0"/>
    <w:rsid w:val="00365463"/>
    <w:rsid w:val="003731F4"/>
    <w:rsid w:val="00394955"/>
    <w:rsid w:val="003B5232"/>
    <w:rsid w:val="003B6C37"/>
    <w:rsid w:val="003E4EC2"/>
    <w:rsid w:val="0047137D"/>
    <w:rsid w:val="00481B4B"/>
    <w:rsid w:val="0049017B"/>
    <w:rsid w:val="00490833"/>
    <w:rsid w:val="0049316D"/>
    <w:rsid w:val="00495253"/>
    <w:rsid w:val="004A2BFF"/>
    <w:rsid w:val="004B4165"/>
    <w:rsid w:val="004C0F16"/>
    <w:rsid w:val="004C76B9"/>
    <w:rsid w:val="004F1B8A"/>
    <w:rsid w:val="0050096D"/>
    <w:rsid w:val="005E25CE"/>
    <w:rsid w:val="005F1CAD"/>
    <w:rsid w:val="005F2473"/>
    <w:rsid w:val="005F40D5"/>
    <w:rsid w:val="00625B6C"/>
    <w:rsid w:val="0062798B"/>
    <w:rsid w:val="006411CA"/>
    <w:rsid w:val="00642C3D"/>
    <w:rsid w:val="006B4DC5"/>
    <w:rsid w:val="006C3A4B"/>
    <w:rsid w:val="006C695E"/>
    <w:rsid w:val="006D70F0"/>
    <w:rsid w:val="006E6FEC"/>
    <w:rsid w:val="006F5A37"/>
    <w:rsid w:val="00736B7E"/>
    <w:rsid w:val="00773495"/>
    <w:rsid w:val="00784E30"/>
    <w:rsid w:val="007946FD"/>
    <w:rsid w:val="0079736C"/>
    <w:rsid w:val="007A2A55"/>
    <w:rsid w:val="007A7395"/>
    <w:rsid w:val="007B092B"/>
    <w:rsid w:val="007B61A5"/>
    <w:rsid w:val="007B7033"/>
    <w:rsid w:val="007D3390"/>
    <w:rsid w:val="00816EE9"/>
    <w:rsid w:val="00821DF7"/>
    <w:rsid w:val="00837516"/>
    <w:rsid w:val="008560C9"/>
    <w:rsid w:val="00875536"/>
    <w:rsid w:val="008A4C5F"/>
    <w:rsid w:val="008A7BB0"/>
    <w:rsid w:val="008B298D"/>
    <w:rsid w:val="008B3175"/>
    <w:rsid w:val="008B5283"/>
    <w:rsid w:val="008E1C2E"/>
    <w:rsid w:val="008E7236"/>
    <w:rsid w:val="009068E2"/>
    <w:rsid w:val="0091598A"/>
    <w:rsid w:val="009239E5"/>
    <w:rsid w:val="00930A4C"/>
    <w:rsid w:val="00991F36"/>
    <w:rsid w:val="009B63F1"/>
    <w:rsid w:val="009C6391"/>
    <w:rsid w:val="009C777E"/>
    <w:rsid w:val="00A16A11"/>
    <w:rsid w:val="00A22585"/>
    <w:rsid w:val="00A25CA3"/>
    <w:rsid w:val="00A62384"/>
    <w:rsid w:val="00A62E67"/>
    <w:rsid w:val="00A637C5"/>
    <w:rsid w:val="00AC263F"/>
    <w:rsid w:val="00AC4EE3"/>
    <w:rsid w:val="00AE32F8"/>
    <w:rsid w:val="00AE627D"/>
    <w:rsid w:val="00B51499"/>
    <w:rsid w:val="00B53171"/>
    <w:rsid w:val="00B62981"/>
    <w:rsid w:val="00B70C21"/>
    <w:rsid w:val="00B86DE4"/>
    <w:rsid w:val="00BA3CC9"/>
    <w:rsid w:val="00BB1CEF"/>
    <w:rsid w:val="00BB7973"/>
    <w:rsid w:val="00BE112C"/>
    <w:rsid w:val="00BF738B"/>
    <w:rsid w:val="00C741D3"/>
    <w:rsid w:val="00C86D4F"/>
    <w:rsid w:val="00C921A8"/>
    <w:rsid w:val="00C92CEC"/>
    <w:rsid w:val="00C94347"/>
    <w:rsid w:val="00CC3AA7"/>
    <w:rsid w:val="00CD2AED"/>
    <w:rsid w:val="00CD2C68"/>
    <w:rsid w:val="00CF305F"/>
    <w:rsid w:val="00D307EE"/>
    <w:rsid w:val="00D63323"/>
    <w:rsid w:val="00D64E49"/>
    <w:rsid w:val="00D97F5B"/>
    <w:rsid w:val="00DD2607"/>
    <w:rsid w:val="00DD6272"/>
    <w:rsid w:val="00DE0627"/>
    <w:rsid w:val="00DE2211"/>
    <w:rsid w:val="00DF27EA"/>
    <w:rsid w:val="00E16A35"/>
    <w:rsid w:val="00E2770E"/>
    <w:rsid w:val="00E43835"/>
    <w:rsid w:val="00E54814"/>
    <w:rsid w:val="00E660FC"/>
    <w:rsid w:val="00E91EE9"/>
    <w:rsid w:val="00EA7029"/>
    <w:rsid w:val="00EB0E2E"/>
    <w:rsid w:val="00EB55D9"/>
    <w:rsid w:val="00ED6233"/>
    <w:rsid w:val="00EE06CD"/>
    <w:rsid w:val="00F00A77"/>
    <w:rsid w:val="00F04B5A"/>
    <w:rsid w:val="00F20397"/>
    <w:rsid w:val="00F3475B"/>
    <w:rsid w:val="00F36310"/>
    <w:rsid w:val="00F45108"/>
    <w:rsid w:val="00F519ED"/>
    <w:rsid w:val="00F83EFC"/>
    <w:rsid w:val="00F86158"/>
    <w:rsid w:val="00FA6AAA"/>
    <w:rsid w:val="00FB0FC1"/>
    <w:rsid w:val="00FB6A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C5487-1385-472C-8C34-25FBDE0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9B63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B63F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B63F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A25C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4C5F"/>
    <w:pPr>
      <w:ind w:left="720"/>
      <w:contextualSpacing/>
    </w:pPr>
  </w:style>
  <w:style w:type="paragraph" w:styleId="NoSpacing">
    <w:name w:val="No Spacing"/>
    <w:uiPriority w:val="1"/>
    <w:qFormat/>
    <w:rsid w:val="00365463"/>
    <w:pPr>
      <w:spacing w:after="0" w:line="240" w:lineRule="auto"/>
    </w:pPr>
  </w:style>
  <w:style w:type="character" w:styleId="Hyperlink">
    <w:name w:val="Hyperlink"/>
    <w:basedOn w:val="DefaultParagraphFont"/>
    <w:uiPriority w:val="99"/>
    <w:unhideWhenUsed/>
    <w:rsid w:val="00915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8799">
      <w:bodyDiv w:val="1"/>
      <w:marLeft w:val="0"/>
      <w:marRight w:val="0"/>
      <w:marTop w:val="0"/>
      <w:marBottom w:val="0"/>
      <w:divBdr>
        <w:top w:val="none" w:sz="0" w:space="0" w:color="auto"/>
        <w:left w:val="none" w:sz="0" w:space="0" w:color="auto"/>
        <w:bottom w:val="none" w:sz="0" w:space="0" w:color="auto"/>
        <w:right w:val="none" w:sz="0" w:space="0" w:color="auto"/>
      </w:divBdr>
    </w:div>
    <w:div w:id="13893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a.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18</Pages>
  <Words>4462</Words>
  <Characters>25837</Characters>
  <Application>Microsoft Office Word</Application>
  <DocSecurity>0</DocSecurity>
  <Lines>506</Lines>
  <Paragraphs>173</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30126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Svedin</dc:creator>
  <cp:keywords/>
  <dc:description/>
  <cp:lastModifiedBy>Lina Svedin</cp:lastModifiedBy>
  <cp:revision>16</cp:revision>
  <dcterms:created xsi:type="dcterms:W3CDTF">2018-09-05T23:16:00Z</dcterms:created>
  <dcterms:modified xsi:type="dcterms:W3CDTF">2018-09-22T05:29:00Z</dcterms:modified>
</cp:coreProperties>
</file>